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3CCB8F" w14:textId="77777777" w:rsidR="000F7728" w:rsidRPr="00FA7024" w:rsidRDefault="000F7728" w:rsidP="000F7728">
      <w:pPr>
        <w:rPr>
          <w:sz w:val="28"/>
          <w:szCs w:val="28"/>
        </w:rPr>
      </w:pPr>
      <w:r w:rsidRPr="00FA7024">
        <w:rPr>
          <w:sz w:val="28"/>
          <w:szCs w:val="28"/>
          <w:rtl/>
          <w:lang w:bidi="ar-SA"/>
        </w:rPr>
        <w:t>بسم الله الرحمن الرحیم</w:t>
      </w:r>
      <w:r w:rsidRPr="00FA7024">
        <w:rPr>
          <w:sz w:val="28"/>
          <w:szCs w:val="28"/>
        </w:rPr>
        <w:br/>
      </w:r>
      <w:r w:rsidRPr="00FA7024">
        <w:rPr>
          <w:sz w:val="28"/>
          <w:szCs w:val="28"/>
          <w:rtl/>
          <w:lang w:bidi="ar-SA"/>
        </w:rPr>
        <w:t>الحمدلله رب العالمین و صلی الله علی محمد و آله الطاهرین و لعنة الله علی اعدائهم اجمعین</w:t>
      </w:r>
      <w:r w:rsidRPr="00FA7024">
        <w:rPr>
          <w:sz w:val="28"/>
          <w:szCs w:val="28"/>
        </w:rPr>
        <w:t>.</w:t>
      </w:r>
    </w:p>
    <w:p w14:paraId="1959F70E" w14:textId="5929CF03" w:rsidR="000F7728" w:rsidRPr="00FA7024" w:rsidRDefault="000F7728" w:rsidP="00FA7024">
      <w:pPr>
        <w:rPr>
          <w:sz w:val="28"/>
          <w:szCs w:val="28"/>
        </w:rPr>
      </w:pPr>
      <w:r w:rsidRPr="00FA7024">
        <w:rPr>
          <w:sz w:val="28"/>
          <w:szCs w:val="28"/>
          <w:rtl/>
          <w:lang w:bidi="ar-SA"/>
        </w:rPr>
        <w:t>(مسألة 19): إذا صلّى في غير المأكول جاهلاً أو ناسياً فالأقوى صحّة صلاةه</w:t>
      </w:r>
      <w:r w:rsidRPr="00FA7024">
        <w:rPr>
          <w:sz w:val="28"/>
          <w:szCs w:val="28"/>
        </w:rPr>
        <w:t xml:space="preserve">. </w:t>
      </w:r>
      <w:r w:rsidR="00FA7024">
        <w:rPr>
          <w:rFonts w:hint="cs"/>
          <w:sz w:val="28"/>
          <w:szCs w:val="28"/>
          <w:rtl/>
        </w:rPr>
        <w:t>(</w:t>
      </w:r>
      <w:r w:rsidRPr="00FA7024">
        <w:rPr>
          <w:i/>
          <w:iCs/>
          <w:sz w:val="28"/>
          <w:szCs w:val="28"/>
          <w:rtl/>
          <w:lang w:bidi="ar-SA"/>
        </w:rPr>
        <w:t>العروة الوثقى</w:t>
      </w:r>
      <w:r w:rsidRPr="00FA7024">
        <w:rPr>
          <w:sz w:val="28"/>
          <w:szCs w:val="28"/>
          <w:rtl/>
          <w:lang w:bidi="ar-SA"/>
        </w:rPr>
        <w:t>، ج 2، ص 340</w:t>
      </w:r>
      <w:r w:rsidR="00FA7024">
        <w:rPr>
          <w:rFonts w:hint="cs"/>
          <w:sz w:val="28"/>
          <w:szCs w:val="28"/>
          <w:rtl/>
        </w:rPr>
        <w:t>)</w:t>
      </w:r>
    </w:p>
    <w:p w14:paraId="2B67A037" w14:textId="578D51D2" w:rsidR="000F7728" w:rsidRPr="00FA7024" w:rsidRDefault="000F7728" w:rsidP="00FA7024">
      <w:pPr>
        <w:pStyle w:val="2"/>
      </w:pPr>
      <w:r w:rsidRPr="00FA7024">
        <w:rPr>
          <w:color w:val="2F5496" w:themeColor="accent1" w:themeShade="BF"/>
          <w:rtl/>
          <w:lang w:bidi="ar-SA"/>
        </w:rPr>
        <w:t xml:space="preserve">بررسی مقتضای جمع </w:t>
      </w:r>
      <w:r w:rsidR="00FA7024" w:rsidRPr="00FA7024">
        <w:rPr>
          <w:rFonts w:hint="cs"/>
          <w:color w:val="2F5496" w:themeColor="accent1" w:themeShade="BF"/>
          <w:rtl/>
          <w:lang w:bidi="ar-SA"/>
        </w:rPr>
        <w:t xml:space="preserve">بين </w:t>
      </w:r>
      <w:r w:rsidRPr="00FA7024">
        <w:rPr>
          <w:color w:val="2F5496" w:themeColor="accent1" w:themeShade="BF"/>
          <w:rtl/>
          <w:lang w:bidi="ar-SA"/>
        </w:rPr>
        <w:t>ادله بنا بر تأسیسی بودن مفاد موثقه ابن‌بکیر</w:t>
      </w:r>
    </w:p>
    <w:p w14:paraId="417A2670" w14:textId="77777777" w:rsidR="000F7728" w:rsidRPr="00FA7024" w:rsidRDefault="000F7728" w:rsidP="000F7728">
      <w:pPr>
        <w:rPr>
          <w:sz w:val="28"/>
          <w:szCs w:val="28"/>
        </w:rPr>
      </w:pPr>
      <w:r w:rsidRPr="00FA7024">
        <w:rPr>
          <w:sz w:val="28"/>
          <w:szCs w:val="28"/>
          <w:rtl/>
          <w:lang w:bidi="ar-SA"/>
        </w:rPr>
        <w:t>بحث در مسئله نوزدهم به اینجا منتهی شد که اگر مفاد جمله دوم موثقه ابن‌بکیر را مفادی «تأسیسی» بدانیم — بدین معنا که این جمله در مقام بیان حکم اخلال به مانعیت ما لا یؤکل لحمه پس از فراغ از اصل مانعیت باشد (کما اینکه به تعبیر مرحوم آیت‌الله حکیم و مرحوم آیت‌الله داماد، ظاهر جمله دوم همین است) — در این فرض، مقتضای جمع بین ادله چه خواهد بود؟ آیا مقتضای جمع، همان دیدگاه مرحوم میرزای نائینی است که در موارد جهل، حکم به صحت و در موارد نسیان، حکم به فساد و لزوم اعاده می‌شود، یا اینکه مقتضای جمع ادله در این فرض چیز دیگری است؟</w:t>
      </w:r>
    </w:p>
    <w:p w14:paraId="062162F8" w14:textId="77777777" w:rsidR="000F7728" w:rsidRPr="00FA7024" w:rsidRDefault="000F7728" w:rsidP="00FA7024">
      <w:pPr>
        <w:pStyle w:val="3"/>
      </w:pPr>
      <w:r w:rsidRPr="00D05891">
        <w:rPr>
          <w:color w:val="2F5496" w:themeColor="accent1" w:themeShade="BF"/>
          <w:rtl/>
          <w:lang w:bidi="ar-SA"/>
        </w:rPr>
        <w:t>دیدگاه مرحوم آیت‌الله حکیم و فروض مسئله</w:t>
      </w:r>
    </w:p>
    <w:p w14:paraId="49DE741F" w14:textId="04B56E03" w:rsidR="000F7728" w:rsidRPr="00FA7024" w:rsidRDefault="000F7728" w:rsidP="00FA7024">
      <w:pPr>
        <w:rPr>
          <w:sz w:val="28"/>
          <w:szCs w:val="28"/>
        </w:rPr>
      </w:pPr>
      <w:r w:rsidRPr="00FA7024">
        <w:rPr>
          <w:sz w:val="28"/>
          <w:szCs w:val="28"/>
          <w:rtl/>
          <w:lang w:bidi="ar-SA"/>
        </w:rPr>
        <w:t>مرحوم آیت‌الله حکیم فرموده‌اند در فرضی که مفاد جمله دوم موثقه، تأسیسی باشد، برای بیان مقتضای جمع بین ادله باید دو تقدیر را به صورت مجزا در نظر بگیریم</w:t>
      </w:r>
      <w:r w:rsidRPr="00FA7024">
        <w:rPr>
          <w:sz w:val="28"/>
          <w:szCs w:val="28"/>
        </w:rPr>
        <w:t>:</w:t>
      </w:r>
      <w:r w:rsidRPr="00FA7024">
        <w:rPr>
          <w:sz w:val="28"/>
          <w:szCs w:val="28"/>
        </w:rPr>
        <w:br/>
      </w:r>
      <w:r w:rsidRPr="00FA7024">
        <w:rPr>
          <w:sz w:val="28"/>
          <w:szCs w:val="28"/>
          <w:rtl/>
        </w:rPr>
        <w:t>۱</w:t>
      </w:r>
      <w:r w:rsidRPr="00FA7024">
        <w:rPr>
          <w:sz w:val="28"/>
          <w:szCs w:val="28"/>
        </w:rPr>
        <w:t>. </w:t>
      </w:r>
      <w:r w:rsidRPr="00FA7024">
        <w:rPr>
          <w:b/>
          <w:bCs/>
          <w:sz w:val="28"/>
          <w:szCs w:val="28"/>
          <w:rtl/>
          <w:lang w:bidi="ar-SA"/>
        </w:rPr>
        <w:t>تقدیر اول</w:t>
      </w:r>
      <w:r w:rsidRPr="00FA7024">
        <w:rPr>
          <w:b/>
          <w:bCs/>
          <w:sz w:val="28"/>
          <w:szCs w:val="28"/>
        </w:rPr>
        <w:t>:</w:t>
      </w:r>
      <w:r w:rsidRPr="00FA7024">
        <w:rPr>
          <w:sz w:val="28"/>
          <w:szCs w:val="28"/>
        </w:rPr>
        <w:t> </w:t>
      </w:r>
      <w:r w:rsidRPr="00FA7024">
        <w:rPr>
          <w:sz w:val="28"/>
          <w:szCs w:val="28"/>
          <w:rtl/>
          <w:lang w:bidi="ar-SA"/>
        </w:rPr>
        <w:t>حدیث لا تعاد اختصاص به نسیان داشته باشد و شامل موارد جهل نشود (مطابق با مختار مرحوم نائینی)</w:t>
      </w:r>
      <w:r w:rsidRPr="00FA7024">
        <w:rPr>
          <w:sz w:val="28"/>
          <w:szCs w:val="28"/>
        </w:rPr>
        <w:t>.</w:t>
      </w:r>
      <w:r w:rsidRPr="00FA7024">
        <w:rPr>
          <w:sz w:val="28"/>
          <w:szCs w:val="28"/>
        </w:rPr>
        <w:br/>
      </w:r>
      <w:r w:rsidRPr="00FA7024">
        <w:rPr>
          <w:sz w:val="28"/>
          <w:szCs w:val="28"/>
          <w:rtl/>
        </w:rPr>
        <w:t>۲</w:t>
      </w:r>
      <w:r w:rsidRPr="00FA7024">
        <w:rPr>
          <w:sz w:val="28"/>
          <w:szCs w:val="28"/>
        </w:rPr>
        <w:t>. </w:t>
      </w:r>
      <w:r w:rsidRPr="00FA7024">
        <w:rPr>
          <w:b/>
          <w:bCs/>
          <w:sz w:val="28"/>
          <w:szCs w:val="28"/>
          <w:rtl/>
          <w:lang w:bidi="ar-SA"/>
        </w:rPr>
        <w:t>تقدیر دوم</w:t>
      </w:r>
      <w:r w:rsidRPr="00FA7024">
        <w:rPr>
          <w:b/>
          <w:bCs/>
          <w:sz w:val="28"/>
          <w:szCs w:val="28"/>
        </w:rPr>
        <w:t>:</w:t>
      </w:r>
      <w:r w:rsidRPr="00FA7024">
        <w:rPr>
          <w:sz w:val="28"/>
          <w:szCs w:val="28"/>
        </w:rPr>
        <w:t> </w:t>
      </w:r>
      <w:r w:rsidRPr="00FA7024">
        <w:rPr>
          <w:sz w:val="28"/>
          <w:szCs w:val="28"/>
          <w:rtl/>
          <w:lang w:bidi="ar-SA"/>
        </w:rPr>
        <w:t xml:space="preserve">حدیث لا تعاد اختصاص به نسیان نداشته باشد و اعم از نسیان و موارد عذر (مانند جهل عذری) باشد؛ یعنی ناظر به شخصی باشد که در مقام انجام وظیفه </w:t>
      </w:r>
      <w:r w:rsidR="00FA7024">
        <w:rPr>
          <w:rFonts w:hint="cs"/>
          <w:sz w:val="28"/>
          <w:szCs w:val="28"/>
          <w:rtl/>
          <w:lang w:bidi="ar-SA"/>
        </w:rPr>
        <w:t xml:space="preserve">عمل ناقص را بجا آورد </w:t>
      </w:r>
      <w:r w:rsidRPr="00FA7024">
        <w:rPr>
          <w:sz w:val="28"/>
          <w:szCs w:val="28"/>
        </w:rPr>
        <w:t>.</w:t>
      </w:r>
    </w:p>
    <w:p w14:paraId="7619B3A8" w14:textId="032EA608" w:rsidR="000F7728" w:rsidRPr="00FA7024" w:rsidRDefault="000F7728" w:rsidP="00FA7024">
      <w:pPr>
        <w:rPr>
          <w:sz w:val="28"/>
          <w:szCs w:val="28"/>
        </w:rPr>
      </w:pPr>
      <w:r w:rsidRPr="00FA7024">
        <w:rPr>
          <w:sz w:val="28"/>
          <w:szCs w:val="28"/>
          <w:rtl/>
          <w:lang w:bidi="ar-SA"/>
        </w:rPr>
        <w:t>بنا بر تقدیر اول، نتیجه جمع ادله این می‌شود که در موارد نسیان و همچنین در جهل به موضوع، حکم به صحت عمل نماییم. اما بنا بر تقدیر دوم، مقتضای جمع ادله، حکم به صحت منحصراً در فرض جهل به موضوع، و الحکم بالبطلان ف</w:t>
      </w:r>
      <w:r w:rsidR="00FA7024">
        <w:rPr>
          <w:rFonts w:hint="cs"/>
          <w:sz w:val="28"/>
          <w:szCs w:val="28"/>
          <w:rtl/>
          <w:lang w:bidi="ar-SA"/>
        </w:rPr>
        <w:t>ي</w:t>
      </w:r>
      <w:r w:rsidRPr="00FA7024">
        <w:rPr>
          <w:sz w:val="28"/>
          <w:szCs w:val="28"/>
          <w:rtl/>
          <w:lang w:bidi="ar-SA"/>
        </w:rPr>
        <w:t>ما عداه خواهد بود؛ که این نتیجه، دقیقاً مطابق با حاشیه‌ای است که خود مرحوم حکیم بر متن </w:t>
      </w:r>
      <w:r w:rsidRPr="00FA7024">
        <w:rPr>
          <w:i/>
          <w:iCs/>
          <w:sz w:val="28"/>
          <w:szCs w:val="28"/>
          <w:rtl/>
          <w:lang w:bidi="ar-SA"/>
        </w:rPr>
        <w:t>العروة الوثقی</w:t>
      </w:r>
      <w:r w:rsidRPr="00FA7024">
        <w:rPr>
          <w:sz w:val="28"/>
          <w:szCs w:val="28"/>
          <w:rtl/>
          <w:lang w:bidi="ar-SA"/>
        </w:rPr>
        <w:t> مرقوم فرموده‌اند</w:t>
      </w:r>
      <w:r w:rsidRPr="00FA7024">
        <w:rPr>
          <w:sz w:val="28"/>
          <w:szCs w:val="28"/>
        </w:rPr>
        <w:t>.</w:t>
      </w:r>
    </w:p>
    <w:p w14:paraId="530E3189" w14:textId="47C858CE" w:rsidR="000F7728" w:rsidRPr="00D05891" w:rsidRDefault="000F7728" w:rsidP="00D05891">
      <w:pPr>
        <w:pStyle w:val="4"/>
        <w:rPr>
          <w:sz w:val="28"/>
          <w:szCs w:val="28"/>
        </w:rPr>
      </w:pPr>
      <w:r w:rsidRPr="00D05891">
        <w:rPr>
          <w:color w:val="2F5496" w:themeColor="accent1" w:themeShade="BF"/>
          <w:sz w:val="28"/>
          <w:szCs w:val="28"/>
          <w:rtl/>
          <w:lang w:bidi="ar-SA"/>
        </w:rPr>
        <w:t>تبیین تقدیر اول در کلام مرحوم حکیم (اختصاص لا تعاد به نسیان</w:t>
      </w:r>
      <w:r w:rsidR="00FA7024" w:rsidRPr="00D05891">
        <w:rPr>
          <w:rFonts w:hint="cs"/>
          <w:color w:val="2F5496" w:themeColor="accent1" w:themeShade="BF"/>
          <w:sz w:val="28"/>
          <w:szCs w:val="28"/>
          <w:rtl/>
        </w:rPr>
        <w:t>)</w:t>
      </w:r>
    </w:p>
    <w:p w14:paraId="628F3833" w14:textId="24D52B27" w:rsidR="000F7728" w:rsidRPr="00FA7024" w:rsidRDefault="000F7728" w:rsidP="00FA7024">
      <w:pPr>
        <w:rPr>
          <w:sz w:val="28"/>
          <w:szCs w:val="28"/>
        </w:rPr>
      </w:pPr>
      <w:r w:rsidRPr="00FA7024">
        <w:rPr>
          <w:sz w:val="28"/>
          <w:szCs w:val="28"/>
          <w:rtl/>
          <w:lang w:bidi="ar-SA"/>
        </w:rPr>
        <w:t>چگونه در تقدیر اول، مقتضای جمع ادله حکم به صحت در صورت نسیان است؟ مرحوم حکیم می‌فرمایند: نسبت اولیه بین جمله دوم موثقه ابن‌بکیر و حدیث لا تعاد، نسبت «عموم و خصوص من وجه» است؛ زیرا موثقه از حیث جهل و نسیان عمومیت دارد و از حیث ما لا یؤکل اختصاص دارد، در حالی که حدیث لا تعاد (بنا بر تقدیر اول) از حیث نسیان اختصاص دارد و از حیث انواع خلل به اجزا، شرایط و موانع عام است</w:t>
      </w:r>
      <w:r w:rsidRPr="00FA7024">
        <w:rPr>
          <w:sz w:val="28"/>
          <w:szCs w:val="28"/>
        </w:rPr>
        <w:t>.</w:t>
      </w:r>
    </w:p>
    <w:p w14:paraId="2B6BD7CB" w14:textId="77777777" w:rsidR="000F7728" w:rsidRPr="00FA7024" w:rsidRDefault="000F7728" w:rsidP="000F7728">
      <w:pPr>
        <w:rPr>
          <w:sz w:val="28"/>
          <w:szCs w:val="28"/>
        </w:rPr>
      </w:pPr>
      <w:r w:rsidRPr="00FA7024">
        <w:rPr>
          <w:sz w:val="28"/>
          <w:szCs w:val="28"/>
          <w:rtl/>
          <w:lang w:bidi="ar-SA"/>
        </w:rPr>
        <w:t xml:space="preserve">این نسبتِ عموم و خصوص من وجه، حتی پس از تخصیص خوردن موثقه به وسیله صحیحه عبدالرحمن بن ابی‌عبدالله نیز به قوت خود باقی می‌ماند؛ زیرا صحیحه عبدالرحمن تنها «جهل به موضوع» را از </w:t>
      </w:r>
      <w:r w:rsidRPr="00FA7024">
        <w:rPr>
          <w:sz w:val="28"/>
          <w:szCs w:val="28"/>
          <w:rtl/>
          <w:lang w:bidi="ar-SA"/>
        </w:rPr>
        <w:lastRenderedPageBreak/>
        <w:t>تحت جمله دوم موثقه خارج می‌کند، اما موارد جهل به حکم (اعم از قصوری و تقصیری)، عالم ملتفت و ناسی همچنان تحت موثقه باقی می‌مانند</w:t>
      </w:r>
      <w:r w:rsidRPr="00FA7024">
        <w:rPr>
          <w:sz w:val="28"/>
          <w:szCs w:val="28"/>
        </w:rPr>
        <w:t>.</w:t>
      </w:r>
    </w:p>
    <w:p w14:paraId="6342435C" w14:textId="20E53463" w:rsidR="000F7728" w:rsidRPr="00FA7024" w:rsidRDefault="000F7728" w:rsidP="000F7728">
      <w:pPr>
        <w:rPr>
          <w:sz w:val="28"/>
          <w:szCs w:val="28"/>
        </w:rPr>
      </w:pPr>
      <w:r w:rsidRPr="00FA7024">
        <w:rPr>
          <w:sz w:val="28"/>
          <w:szCs w:val="28"/>
          <w:rtl/>
          <w:lang w:bidi="ar-SA"/>
        </w:rPr>
        <w:t xml:space="preserve">بنابراین، پس از تخصیص موثقه، در سنجش آن با حدیث لا تعاد، ارکان نسبت </w:t>
      </w:r>
      <w:r w:rsidR="00FA7024">
        <w:rPr>
          <w:rFonts w:hint="cs"/>
          <w:sz w:val="28"/>
          <w:szCs w:val="28"/>
          <w:rtl/>
          <w:lang w:bidi="ar-SA"/>
        </w:rPr>
        <w:t xml:space="preserve">عموم </w:t>
      </w:r>
      <w:r w:rsidRPr="00FA7024">
        <w:rPr>
          <w:sz w:val="28"/>
          <w:szCs w:val="28"/>
          <w:rtl/>
          <w:lang w:bidi="ar-SA"/>
        </w:rPr>
        <w:t>من وجه (دو ماده افتراق و یک ماده اجتماع) محقق است</w:t>
      </w:r>
      <w:r w:rsidRPr="00FA7024">
        <w:rPr>
          <w:sz w:val="28"/>
          <w:szCs w:val="28"/>
        </w:rPr>
        <w:t>:</w:t>
      </w:r>
    </w:p>
    <w:p w14:paraId="001F1E9B" w14:textId="77777777" w:rsidR="000F7728" w:rsidRPr="00FA7024" w:rsidRDefault="000F7728" w:rsidP="000F7728">
      <w:pPr>
        <w:numPr>
          <w:ilvl w:val="0"/>
          <w:numId w:val="33"/>
        </w:numPr>
        <w:rPr>
          <w:sz w:val="28"/>
          <w:szCs w:val="28"/>
        </w:rPr>
      </w:pPr>
      <w:r w:rsidRPr="00FA7024">
        <w:rPr>
          <w:b/>
          <w:bCs/>
          <w:sz w:val="28"/>
          <w:szCs w:val="28"/>
          <w:rtl/>
          <w:lang w:bidi="ar-SA"/>
        </w:rPr>
        <w:t>ماده افتراق موثقه</w:t>
      </w:r>
      <w:r w:rsidRPr="00FA7024">
        <w:rPr>
          <w:b/>
          <w:bCs/>
          <w:sz w:val="28"/>
          <w:szCs w:val="28"/>
        </w:rPr>
        <w:t>:</w:t>
      </w:r>
      <w:r w:rsidRPr="00FA7024">
        <w:rPr>
          <w:sz w:val="28"/>
          <w:szCs w:val="28"/>
        </w:rPr>
        <w:t> </w:t>
      </w:r>
      <w:r w:rsidRPr="00FA7024">
        <w:rPr>
          <w:sz w:val="28"/>
          <w:szCs w:val="28"/>
          <w:rtl/>
          <w:lang w:bidi="ar-SA"/>
        </w:rPr>
        <w:t>عالم ملتفت و دو قسم جاهل به حکم</w:t>
      </w:r>
      <w:r w:rsidRPr="00FA7024">
        <w:rPr>
          <w:sz w:val="28"/>
          <w:szCs w:val="28"/>
        </w:rPr>
        <w:t>.</w:t>
      </w:r>
    </w:p>
    <w:p w14:paraId="44E5CF4A" w14:textId="77777777" w:rsidR="000F7728" w:rsidRPr="00FA7024" w:rsidRDefault="000F7728" w:rsidP="000F7728">
      <w:pPr>
        <w:numPr>
          <w:ilvl w:val="0"/>
          <w:numId w:val="33"/>
        </w:numPr>
        <w:rPr>
          <w:sz w:val="28"/>
          <w:szCs w:val="28"/>
        </w:rPr>
      </w:pPr>
      <w:r w:rsidRPr="00FA7024">
        <w:rPr>
          <w:b/>
          <w:bCs/>
          <w:sz w:val="28"/>
          <w:szCs w:val="28"/>
          <w:rtl/>
          <w:lang w:bidi="ar-SA"/>
        </w:rPr>
        <w:t>ماده افتراق حدیث لا تعاد</w:t>
      </w:r>
      <w:r w:rsidRPr="00FA7024">
        <w:rPr>
          <w:b/>
          <w:bCs/>
          <w:sz w:val="28"/>
          <w:szCs w:val="28"/>
        </w:rPr>
        <w:t>:</w:t>
      </w:r>
      <w:r w:rsidRPr="00FA7024">
        <w:rPr>
          <w:sz w:val="28"/>
          <w:szCs w:val="28"/>
        </w:rPr>
        <w:t> </w:t>
      </w:r>
      <w:r w:rsidRPr="00FA7024">
        <w:rPr>
          <w:sz w:val="28"/>
          <w:szCs w:val="28"/>
          <w:rtl/>
          <w:lang w:bidi="ar-SA"/>
        </w:rPr>
        <w:t>سایر موارد اخلال به اجزا، شرایط و موانع</w:t>
      </w:r>
      <w:r w:rsidRPr="00FA7024">
        <w:rPr>
          <w:sz w:val="28"/>
          <w:szCs w:val="28"/>
        </w:rPr>
        <w:t>.</w:t>
      </w:r>
    </w:p>
    <w:p w14:paraId="3F4E1F74" w14:textId="77777777" w:rsidR="000F7728" w:rsidRPr="00FA7024" w:rsidRDefault="000F7728" w:rsidP="000F7728">
      <w:pPr>
        <w:numPr>
          <w:ilvl w:val="0"/>
          <w:numId w:val="33"/>
        </w:numPr>
        <w:rPr>
          <w:sz w:val="28"/>
          <w:szCs w:val="28"/>
        </w:rPr>
      </w:pPr>
      <w:r w:rsidRPr="00FA7024">
        <w:rPr>
          <w:b/>
          <w:bCs/>
          <w:sz w:val="28"/>
          <w:szCs w:val="28"/>
          <w:rtl/>
          <w:lang w:bidi="ar-SA"/>
        </w:rPr>
        <w:t>ماده اجتماع</w:t>
      </w:r>
      <w:r w:rsidRPr="00FA7024">
        <w:rPr>
          <w:b/>
          <w:bCs/>
          <w:sz w:val="28"/>
          <w:szCs w:val="28"/>
        </w:rPr>
        <w:t>:</w:t>
      </w:r>
      <w:r w:rsidRPr="00FA7024">
        <w:rPr>
          <w:sz w:val="28"/>
          <w:szCs w:val="28"/>
        </w:rPr>
        <w:t> </w:t>
      </w:r>
      <w:r w:rsidRPr="00FA7024">
        <w:rPr>
          <w:sz w:val="28"/>
          <w:szCs w:val="28"/>
          <w:rtl/>
          <w:lang w:bidi="ar-SA"/>
        </w:rPr>
        <w:t>نسیانِ وقوع صلاة در اجزای ما لا یؤکل</w:t>
      </w:r>
      <w:r w:rsidRPr="00FA7024">
        <w:rPr>
          <w:sz w:val="28"/>
          <w:szCs w:val="28"/>
        </w:rPr>
        <w:t>.</w:t>
      </w:r>
    </w:p>
    <w:p w14:paraId="331977A3" w14:textId="77777777" w:rsidR="000F7728" w:rsidRPr="00FA7024" w:rsidRDefault="000F7728" w:rsidP="000F7728">
      <w:pPr>
        <w:rPr>
          <w:sz w:val="28"/>
          <w:szCs w:val="28"/>
        </w:rPr>
      </w:pPr>
      <w:r w:rsidRPr="00FA7024">
        <w:rPr>
          <w:sz w:val="28"/>
          <w:szCs w:val="28"/>
          <w:rtl/>
          <w:lang w:bidi="ar-SA"/>
        </w:rPr>
        <w:t>طبق قواعد باب تعارض، در ماده اجتماع باید این دو دلیل با یکدیگر تعارض کنند؛ اما مرحوم حکیم می‌فرمایند از آنجا که دلالت حدیث لا تعاد بسیار واضح است و عموم آن به وسیله استثنا و ذیلی که به منزله تعلیل است تأکید شده است، این وضوح دلالت سبب تقدم حدیث لا تعاد در ماده اجتماع می‌شود. از این رو، در تقدیر اول، در ماده اجتماع (نسیان) حکم به صحت عمل می‌شود. عبارت ایشان چنین است</w:t>
      </w:r>
      <w:r w:rsidRPr="00FA7024">
        <w:rPr>
          <w:sz w:val="28"/>
          <w:szCs w:val="28"/>
        </w:rPr>
        <w:t>: </w:t>
      </w:r>
      <w:r w:rsidRPr="00FA7024">
        <w:rPr>
          <w:sz w:val="28"/>
          <w:szCs w:val="28"/>
          <w:rtl/>
          <w:lang w:bidi="ar-SA"/>
        </w:rPr>
        <w:t>اللازم العمل بالحدیث فی الناسی لوضوح دلالته و تأکدها بالاستثناء و بذیله الذی هو کالتعلیل</w:t>
      </w:r>
      <w:r w:rsidRPr="00FA7024">
        <w:rPr>
          <w:sz w:val="28"/>
          <w:szCs w:val="28"/>
        </w:rPr>
        <w:t>.</w:t>
      </w:r>
    </w:p>
    <w:p w14:paraId="730F8187" w14:textId="641B9F35" w:rsidR="000F7728" w:rsidRPr="00D05891" w:rsidRDefault="000F7728" w:rsidP="00D05891">
      <w:pPr>
        <w:pStyle w:val="4"/>
        <w:rPr>
          <w:color w:val="2F5496" w:themeColor="accent1" w:themeShade="BF"/>
        </w:rPr>
      </w:pPr>
      <w:r w:rsidRPr="00D05891">
        <w:rPr>
          <w:color w:val="2F5496" w:themeColor="accent1" w:themeShade="BF"/>
          <w:rtl/>
          <w:lang w:bidi="ar-SA"/>
        </w:rPr>
        <w:t>تبیین تقدیر دوم در کلام مرحوم حکیم (تعمیم لا تعاد به جهل و نسیان</w:t>
      </w:r>
      <w:r w:rsidR="00FA7024" w:rsidRPr="00D05891">
        <w:rPr>
          <w:rFonts w:hint="cs"/>
          <w:color w:val="2F5496" w:themeColor="accent1" w:themeShade="BF"/>
          <w:rtl/>
        </w:rPr>
        <w:t>)</w:t>
      </w:r>
    </w:p>
    <w:p w14:paraId="34E905AA" w14:textId="77777777" w:rsidR="000F7728" w:rsidRPr="00FA7024" w:rsidRDefault="000F7728" w:rsidP="000F7728">
      <w:pPr>
        <w:rPr>
          <w:sz w:val="28"/>
          <w:szCs w:val="28"/>
        </w:rPr>
      </w:pPr>
      <w:r w:rsidRPr="00FA7024">
        <w:rPr>
          <w:sz w:val="28"/>
          <w:szCs w:val="28"/>
          <w:rtl/>
          <w:lang w:bidi="ar-SA"/>
        </w:rPr>
        <w:t>در تقدیر دوم، فرض بر این است که حدیث لا تعاد مختص به ناسی نیست، بلکه شامل جاهل نیز می‌شود. به تعبیر کتاب </w:t>
      </w:r>
      <w:r w:rsidRPr="00FA7024">
        <w:rPr>
          <w:i/>
          <w:iCs/>
          <w:sz w:val="28"/>
          <w:szCs w:val="28"/>
          <w:rtl/>
          <w:lang w:bidi="ar-SA"/>
        </w:rPr>
        <w:t>مستمسک</w:t>
      </w:r>
      <w:r w:rsidRPr="00FA7024">
        <w:rPr>
          <w:sz w:val="28"/>
          <w:szCs w:val="28"/>
          <w:rtl/>
          <w:lang w:bidi="ar-SA"/>
        </w:rPr>
        <w:t>، حدیث لا تعاد ناظر به کسی است که در مقام انجام وظیفه، فعل ناقصی را به جای می‌آورد به خیال اینکه وظیفه‌اش همین است. این عنوانِ عام، شامل نسیان، غفلت و جهل عن عذر (جهل به موضوع و جهل به حکم قصوری) می‌شود. مرحوم حکیم می‌فرمایند قول صحیح و ظاهر حدیث لا تعاد نیز همین تعمیم است، کما اینکه ظاهر جمله دوم موثقه ابن‌بکیر نیز ناظر به موارد اخلال عن عذر است</w:t>
      </w:r>
      <w:r w:rsidRPr="00FA7024">
        <w:rPr>
          <w:sz w:val="28"/>
          <w:szCs w:val="28"/>
        </w:rPr>
        <w:t>.</w:t>
      </w:r>
    </w:p>
    <w:p w14:paraId="6A8B1AB4" w14:textId="5F404F7D" w:rsidR="000F7728" w:rsidRPr="00FA7024" w:rsidRDefault="000F7728" w:rsidP="00D05891">
      <w:pPr>
        <w:rPr>
          <w:sz w:val="28"/>
          <w:szCs w:val="28"/>
        </w:rPr>
      </w:pPr>
      <w:r w:rsidRPr="00FA7024">
        <w:rPr>
          <w:sz w:val="28"/>
          <w:szCs w:val="28"/>
          <w:rtl/>
          <w:lang w:bidi="ar-SA"/>
        </w:rPr>
        <w:t>اگر حدیث لا تعاد نسبت به موارد جهل عذری اعم باشد و جمله دوم موثقه به موارد اخلال عن عذر اختصاص داشته باشد، نسبت بین این دو دلیل «عموم و خصوص مطلق» می‌گردد؛ یعنی موثقه ابن‌بکیر «اخص مطلق» از حدیث لا تعاد خواهد بود. در نتیجه، طبق قواعد جمع عرفی، موثقه (که خود قبلاً توسط صحیحه عبدالرحمن در مورد جهل به موضوع تخصیص خورده است) مخصص حدیث لا تعاد قرار می‌گیرد</w:t>
      </w:r>
      <w:r w:rsidRPr="00FA7024">
        <w:rPr>
          <w:sz w:val="28"/>
          <w:szCs w:val="28"/>
        </w:rPr>
        <w:t>.</w:t>
      </w:r>
    </w:p>
    <w:p w14:paraId="758C6452" w14:textId="77777777" w:rsidR="000F7728" w:rsidRPr="00FA7024" w:rsidRDefault="000F7728" w:rsidP="000F7728">
      <w:pPr>
        <w:rPr>
          <w:sz w:val="28"/>
          <w:szCs w:val="28"/>
        </w:rPr>
      </w:pPr>
      <w:r w:rsidRPr="00FA7024">
        <w:rPr>
          <w:sz w:val="28"/>
          <w:szCs w:val="28"/>
          <w:rtl/>
          <w:lang w:bidi="ar-SA"/>
        </w:rPr>
        <w:t>نتیجه این دو تخصیص (تخصیص موثقه به صحیحه عبدالرحمن، و تخصیص لا تعاد به موثقه) این می‌شود که در ما لا یؤکل، تنها در فرض «جهل به موضوع» حکم به صحت می‌شود، اما در ماعدای آن (یعنی جهل به حکم مطلقاً و نسیان) حکم به فساد عمل و لزوم اعاده صادر می‌گردد. این همان فتوای مرحوم حکیم در تعلیقه </w:t>
      </w:r>
      <w:r w:rsidRPr="00FA7024">
        <w:rPr>
          <w:i/>
          <w:iCs/>
          <w:sz w:val="28"/>
          <w:szCs w:val="28"/>
          <w:rtl/>
          <w:lang w:bidi="ar-SA"/>
        </w:rPr>
        <w:t>العروة الوثقی</w:t>
      </w:r>
      <w:r w:rsidRPr="00FA7024">
        <w:rPr>
          <w:sz w:val="28"/>
          <w:szCs w:val="28"/>
          <w:rtl/>
          <w:lang w:bidi="ar-SA"/>
        </w:rPr>
        <w:t> است</w:t>
      </w:r>
      <w:r w:rsidRPr="00FA7024">
        <w:rPr>
          <w:sz w:val="28"/>
          <w:szCs w:val="28"/>
        </w:rPr>
        <w:t>:</w:t>
      </w:r>
    </w:p>
    <w:p w14:paraId="25F1A470" w14:textId="5E1C2747" w:rsidR="000F7728" w:rsidRPr="00FA7024" w:rsidRDefault="000F7728" w:rsidP="00D05891">
      <w:pPr>
        <w:rPr>
          <w:sz w:val="28"/>
          <w:szCs w:val="28"/>
        </w:rPr>
      </w:pPr>
      <w:r w:rsidRPr="00FA7024">
        <w:rPr>
          <w:sz w:val="28"/>
          <w:szCs w:val="28"/>
          <w:rtl/>
          <w:lang w:bidi="ar-SA"/>
        </w:rPr>
        <w:t>في الجاهل بالموضوع، أمّا الجاهل بالحكم و الناسي له أو للموضوع فالأحوط لو لم يكن أقوى البطلان. (تعليقة الحكيم على </w:t>
      </w:r>
      <w:r w:rsidRPr="00FA7024">
        <w:rPr>
          <w:i/>
          <w:iCs/>
          <w:sz w:val="28"/>
          <w:szCs w:val="28"/>
          <w:rtl/>
          <w:lang w:bidi="ar-SA"/>
        </w:rPr>
        <w:t>العروة الوثقى</w:t>
      </w:r>
      <w:r w:rsidRPr="00FA7024">
        <w:rPr>
          <w:sz w:val="28"/>
          <w:szCs w:val="28"/>
          <w:rtl/>
          <w:lang w:bidi="ar-SA"/>
        </w:rPr>
        <w:t>، ج 2، ص 340</w:t>
      </w:r>
      <w:r w:rsidR="00D05891">
        <w:rPr>
          <w:rFonts w:hint="cs"/>
          <w:sz w:val="28"/>
          <w:szCs w:val="28"/>
          <w:rtl/>
        </w:rPr>
        <w:t>)</w:t>
      </w:r>
    </w:p>
    <w:p w14:paraId="423E1FE6" w14:textId="77777777" w:rsidR="000F7728" w:rsidRPr="00FA7024" w:rsidRDefault="000F7728" w:rsidP="000F7728">
      <w:pPr>
        <w:rPr>
          <w:sz w:val="28"/>
          <w:szCs w:val="28"/>
        </w:rPr>
      </w:pPr>
      <w:r w:rsidRPr="00FA7024">
        <w:rPr>
          <w:sz w:val="28"/>
          <w:szCs w:val="28"/>
          <w:rtl/>
          <w:lang w:bidi="ar-SA"/>
        </w:rPr>
        <w:lastRenderedPageBreak/>
        <w:t>بدین ترتیب، وجه تعلیقه مرحوم حکیم روشن می‌گردد؛ ایشان در حقیقت تقدیر دوم را پذیرفته و بر اساس آن فتوا داده‌اند. خلاصه آنکه در نگاه مرحوم حکیم، بنا بر تأسیسی بودن مفاد موثقه، مقتضای صناعت در دو تقدیر متفاوت است: در تقدیر اول حکم به صحت در نسیان، و در تقدیر دوم حکم به فساد در نسیان</w:t>
      </w:r>
      <w:r w:rsidRPr="00FA7024">
        <w:rPr>
          <w:sz w:val="28"/>
          <w:szCs w:val="28"/>
        </w:rPr>
        <w:t>.</w:t>
      </w:r>
    </w:p>
    <w:p w14:paraId="645A91C5" w14:textId="77777777" w:rsidR="000F7728" w:rsidRPr="00FA7024" w:rsidRDefault="000F7728" w:rsidP="00C156AA">
      <w:pPr>
        <w:pStyle w:val="3"/>
      </w:pPr>
      <w:r w:rsidRPr="00C156AA">
        <w:rPr>
          <w:color w:val="2F5496" w:themeColor="accent1" w:themeShade="BF"/>
          <w:rtl/>
          <w:lang w:bidi="ar-SA"/>
        </w:rPr>
        <w:t>مناقشه در فرمایش مرحوم آیت‌الله حکیم</w:t>
      </w:r>
    </w:p>
    <w:p w14:paraId="01971CE5" w14:textId="77777777" w:rsidR="000F7728" w:rsidRPr="00C156AA" w:rsidRDefault="000F7728" w:rsidP="00C156AA">
      <w:pPr>
        <w:pStyle w:val="4"/>
        <w:rPr>
          <w:sz w:val="28"/>
          <w:szCs w:val="28"/>
        </w:rPr>
      </w:pPr>
      <w:r w:rsidRPr="00C156AA">
        <w:rPr>
          <w:color w:val="2F5496" w:themeColor="accent1" w:themeShade="BF"/>
          <w:sz w:val="28"/>
          <w:szCs w:val="28"/>
          <w:rtl/>
          <w:lang w:bidi="ar-SA"/>
        </w:rPr>
        <w:t>اشکال به تقدیر اول</w:t>
      </w:r>
    </w:p>
    <w:p w14:paraId="1D3C2701" w14:textId="77777777" w:rsidR="000F7728" w:rsidRPr="00FA7024" w:rsidRDefault="000F7728" w:rsidP="000F7728">
      <w:pPr>
        <w:rPr>
          <w:sz w:val="28"/>
          <w:szCs w:val="28"/>
        </w:rPr>
      </w:pPr>
      <w:r w:rsidRPr="00FA7024">
        <w:rPr>
          <w:sz w:val="28"/>
          <w:szCs w:val="28"/>
          <w:rtl/>
          <w:lang w:bidi="ar-SA"/>
        </w:rPr>
        <w:t>نسبت به تقدیر اول (اختصاص لا تعاد به نسیان)، این بخش از کلام مرحوم حکیم که نسبت بین دو دلیل را چه قبل و چه بعد از تخصیص موثقه، «عموم و خصوص من وجه» دانستند، کاملاً متین و تمام است. اما نتیجه‌گیری ایشان مبنی بر تقدم حدیث لا تعاد در ماده اجتماع به دلیل «وضوح دلالت»، قابل مناقشه است</w:t>
      </w:r>
      <w:r w:rsidRPr="00FA7024">
        <w:rPr>
          <w:sz w:val="28"/>
          <w:szCs w:val="28"/>
        </w:rPr>
        <w:t>.</w:t>
      </w:r>
    </w:p>
    <w:p w14:paraId="27B1127B" w14:textId="77777777" w:rsidR="000F7728" w:rsidRPr="00FA7024" w:rsidRDefault="000F7728" w:rsidP="000F7728">
      <w:pPr>
        <w:rPr>
          <w:sz w:val="28"/>
          <w:szCs w:val="28"/>
        </w:rPr>
      </w:pPr>
      <w:r w:rsidRPr="00FA7024">
        <w:rPr>
          <w:sz w:val="28"/>
          <w:szCs w:val="28"/>
          <w:rtl/>
          <w:lang w:bidi="ar-SA"/>
        </w:rPr>
        <w:t>اشکال این است که وقتی نسبت، عموم و خصوص من وجه شد، باید قاعده تعارض، تساقط و رجوع به عام فوقانی اعمال شود. تقدیم یکی از دو عام من وجه بر دیگری نیازمند «مرجح دلالی» است که در اینجا مفقود است. وجه ترجیحی که دیگران (مبنی بر بلامورد ماندن موثقه و کالنص شدن آن) مطرح کرده بودند را خود مرحوم حکیم رد کرده‌اند. وجهی که خود ایشان به آن استناد کردند، صرفاً «وضوح دلالت» حدیث لا تعاد و تأکد آن به وسیله استثنا و تعلیل است</w:t>
      </w:r>
      <w:r w:rsidRPr="00FA7024">
        <w:rPr>
          <w:sz w:val="28"/>
          <w:szCs w:val="28"/>
        </w:rPr>
        <w:t>.</w:t>
      </w:r>
    </w:p>
    <w:p w14:paraId="4F1EB1BE" w14:textId="3EFCB94B" w:rsidR="000F7728" w:rsidRPr="00FA7024" w:rsidRDefault="000F7728" w:rsidP="00C156AA">
      <w:pPr>
        <w:rPr>
          <w:sz w:val="28"/>
          <w:szCs w:val="28"/>
        </w:rPr>
      </w:pPr>
      <w:r w:rsidRPr="00FA7024">
        <w:rPr>
          <w:sz w:val="28"/>
          <w:szCs w:val="28"/>
          <w:rtl/>
          <w:lang w:bidi="ar-SA"/>
        </w:rPr>
        <w:t>اما باید توجه داشت که «وضوح من حیث الدلالة» و شدت ظهور، از مرجحات باب تعارض نیست. اگر دلالت موثقه را نپذیرید که اصلاً تعارضی شکل نمی‌گیرد؛ اما اگر دلالت هر دو را پذیرفتید، صرف اینکه درجه دلالت یکی شدیدتر و واضح‌تر از دیگری است، موجب ترجیح دلالی نمی‌شود (این ادعای تقدم به واسطه وضوح دلالت، در کلام مرحوم آیت‌الله داماد نیز آمده است که به همین بیان م</w:t>
      </w:r>
      <w:r w:rsidR="00C156AA">
        <w:rPr>
          <w:rFonts w:hint="cs"/>
          <w:sz w:val="28"/>
          <w:szCs w:val="28"/>
          <w:rtl/>
          <w:lang w:bidi="ar-SA"/>
        </w:rPr>
        <w:t>و</w:t>
      </w:r>
      <w:r w:rsidRPr="00FA7024">
        <w:rPr>
          <w:sz w:val="28"/>
          <w:szCs w:val="28"/>
          <w:rtl/>
          <w:lang w:bidi="ar-SA"/>
        </w:rPr>
        <w:t>رد</w:t>
      </w:r>
      <w:r w:rsidR="00C156AA">
        <w:rPr>
          <w:rFonts w:hint="cs"/>
          <w:sz w:val="28"/>
          <w:szCs w:val="28"/>
          <w:rtl/>
          <w:lang w:bidi="ar-SA"/>
        </w:rPr>
        <w:t xml:space="preserve"> اشکال</w:t>
      </w:r>
      <w:r w:rsidRPr="00FA7024">
        <w:rPr>
          <w:sz w:val="28"/>
          <w:szCs w:val="28"/>
          <w:rtl/>
          <w:lang w:bidi="ar-SA"/>
        </w:rPr>
        <w:t xml:space="preserve"> است). سرّ مطلب آن است که برای خروج از تعارض مستقر در ترجیح دلالی، نیازمند «قرینیت عرفیه» هستیم، و صرف اظهریت، قرینیت عرفیه ایجاد نمی‌کند</w:t>
      </w:r>
      <w:r w:rsidRPr="00FA7024">
        <w:rPr>
          <w:sz w:val="28"/>
          <w:szCs w:val="28"/>
        </w:rPr>
        <w:t>.</w:t>
      </w:r>
    </w:p>
    <w:p w14:paraId="679598EE" w14:textId="77777777" w:rsidR="000F7728" w:rsidRPr="00FA7024" w:rsidRDefault="000F7728" w:rsidP="000F7728">
      <w:pPr>
        <w:rPr>
          <w:sz w:val="28"/>
          <w:szCs w:val="28"/>
        </w:rPr>
      </w:pPr>
      <w:r w:rsidRPr="00FA7024">
        <w:rPr>
          <w:b/>
          <w:bCs/>
          <w:sz w:val="28"/>
          <w:szCs w:val="28"/>
          <w:rtl/>
          <w:lang w:bidi="ar-SA"/>
        </w:rPr>
        <w:t>پرسش</w:t>
      </w:r>
      <w:r w:rsidRPr="00FA7024">
        <w:rPr>
          <w:b/>
          <w:bCs/>
          <w:sz w:val="28"/>
          <w:szCs w:val="28"/>
        </w:rPr>
        <w:t>:</w:t>
      </w:r>
      <w:r w:rsidRPr="00FA7024">
        <w:rPr>
          <w:sz w:val="28"/>
          <w:szCs w:val="28"/>
        </w:rPr>
        <w:t> </w:t>
      </w:r>
      <w:r w:rsidRPr="00FA7024">
        <w:rPr>
          <w:sz w:val="28"/>
          <w:szCs w:val="28"/>
          <w:rtl/>
          <w:lang w:bidi="ar-SA"/>
        </w:rPr>
        <w:t>آیا عام وضعی در تعارض، به خاطر قوت دلالتش بر مطلق مقدم نمی‌شود؟ در اینجا هم استثنا وجود دارد</w:t>
      </w:r>
      <w:r w:rsidRPr="00FA7024">
        <w:rPr>
          <w:sz w:val="28"/>
          <w:szCs w:val="28"/>
        </w:rPr>
        <w:t>.</w:t>
      </w:r>
      <w:r w:rsidRPr="00FA7024">
        <w:rPr>
          <w:sz w:val="28"/>
          <w:szCs w:val="28"/>
        </w:rPr>
        <w:br/>
      </w:r>
      <w:r w:rsidRPr="00FA7024">
        <w:rPr>
          <w:b/>
          <w:bCs/>
          <w:sz w:val="28"/>
          <w:szCs w:val="28"/>
          <w:rtl/>
          <w:lang w:bidi="ar-SA"/>
        </w:rPr>
        <w:t>پاسخ</w:t>
      </w:r>
      <w:r w:rsidRPr="00FA7024">
        <w:rPr>
          <w:b/>
          <w:bCs/>
          <w:sz w:val="28"/>
          <w:szCs w:val="28"/>
        </w:rPr>
        <w:t xml:space="preserve"> :</w:t>
      </w:r>
      <w:r w:rsidRPr="00FA7024">
        <w:rPr>
          <w:sz w:val="28"/>
          <w:szCs w:val="28"/>
        </w:rPr>
        <w:t> </w:t>
      </w:r>
      <w:r w:rsidRPr="00FA7024">
        <w:rPr>
          <w:sz w:val="28"/>
          <w:szCs w:val="28"/>
          <w:rtl/>
          <w:lang w:bidi="ar-SA"/>
        </w:rPr>
        <w:t>تقدم عام وضعی به خاطر وجود «نکته قرینیت عرفی» است، نه صرفاً شدت ظهور. وقتی متکلم مطلبی را با دلیلی که دلالت وضعی دارد بیان می‌کند، این بیان در نگاه عرف قرینیت پیدا می‌کند. اما در محل بحث ما، صرف وضوح دلالت به قرینیت عرفیه بازنمی‌گردد</w:t>
      </w:r>
      <w:r w:rsidRPr="00FA7024">
        <w:rPr>
          <w:sz w:val="28"/>
          <w:szCs w:val="28"/>
        </w:rPr>
        <w:t>.</w:t>
      </w:r>
    </w:p>
    <w:p w14:paraId="7118CEF4" w14:textId="7A7B524F" w:rsidR="000F7728" w:rsidRPr="00FA7024" w:rsidRDefault="000F7728" w:rsidP="00C156AA">
      <w:pPr>
        <w:rPr>
          <w:sz w:val="28"/>
          <w:szCs w:val="28"/>
        </w:rPr>
      </w:pPr>
      <w:r w:rsidRPr="00FA7024">
        <w:rPr>
          <w:b/>
          <w:bCs/>
          <w:sz w:val="28"/>
          <w:szCs w:val="28"/>
          <w:rtl/>
          <w:lang w:bidi="ar-SA"/>
        </w:rPr>
        <w:t>پرسش</w:t>
      </w:r>
      <w:r w:rsidRPr="00FA7024">
        <w:rPr>
          <w:b/>
          <w:bCs/>
          <w:sz w:val="28"/>
          <w:szCs w:val="28"/>
        </w:rPr>
        <w:t>:</w:t>
      </w:r>
      <w:r w:rsidRPr="00FA7024">
        <w:rPr>
          <w:sz w:val="28"/>
          <w:szCs w:val="28"/>
        </w:rPr>
        <w:t> </w:t>
      </w:r>
      <w:r w:rsidRPr="00FA7024">
        <w:rPr>
          <w:sz w:val="28"/>
          <w:szCs w:val="28"/>
          <w:rtl/>
          <w:lang w:bidi="ar-SA"/>
        </w:rPr>
        <w:t>آیا علل مستنبطه یا اشتمال بر تعلیل، موجب «ابای از تخصیص» نمی‌شود؟</w:t>
      </w:r>
      <w:r w:rsidRPr="00FA7024">
        <w:rPr>
          <w:sz w:val="28"/>
          <w:szCs w:val="28"/>
        </w:rPr>
        <w:br/>
      </w:r>
      <w:r w:rsidRPr="00FA7024">
        <w:rPr>
          <w:b/>
          <w:bCs/>
          <w:sz w:val="28"/>
          <w:szCs w:val="28"/>
          <w:rtl/>
          <w:lang w:bidi="ar-SA"/>
        </w:rPr>
        <w:t>پاسخ</w:t>
      </w:r>
      <w:r w:rsidRPr="00FA7024">
        <w:rPr>
          <w:b/>
          <w:bCs/>
          <w:sz w:val="28"/>
          <w:szCs w:val="28"/>
        </w:rPr>
        <w:t>:</w:t>
      </w:r>
      <w:r w:rsidRPr="00FA7024">
        <w:rPr>
          <w:sz w:val="28"/>
          <w:szCs w:val="28"/>
        </w:rPr>
        <w:t> </w:t>
      </w:r>
      <w:r w:rsidRPr="00FA7024">
        <w:rPr>
          <w:sz w:val="28"/>
          <w:szCs w:val="28"/>
          <w:rtl/>
          <w:lang w:bidi="ar-SA"/>
        </w:rPr>
        <w:t>اگر کسی بتواند به عنوان یک کبرای کلی اثبات کند که خطابی که مشتمل بر تعلیل است، آبی از تخصیص می‌باشد، در این صورت حدیث لا تعاد در ماده اجتماع کالنص شده و مقدم می‌گردد. اما این کبرا تمام نیست. اشتمال یک حکم بر تعلیل، مانع از قابلیت تخصیص آن نمی‌شود؛ عام مشتمل بر تعلیل نیز مانند سایر عمومات قابل تخصیص است و قرینیت عرفیه‌ای برای تقدم آن</w:t>
      </w:r>
      <w:r w:rsidR="00C156AA">
        <w:rPr>
          <w:rFonts w:hint="cs"/>
          <w:sz w:val="28"/>
          <w:szCs w:val="28"/>
          <w:rtl/>
          <w:lang w:bidi="ar-SA"/>
        </w:rPr>
        <w:t xml:space="preserve"> بر عام بدون تعليل </w:t>
      </w:r>
      <w:r w:rsidRPr="00FA7024">
        <w:rPr>
          <w:sz w:val="28"/>
          <w:szCs w:val="28"/>
          <w:rtl/>
          <w:lang w:bidi="ar-SA"/>
        </w:rPr>
        <w:t xml:space="preserve"> در کار نیست. لذا فرمایش مرحوم حکیم در تقدیر اول ناتمام است</w:t>
      </w:r>
      <w:r w:rsidRPr="00FA7024">
        <w:rPr>
          <w:sz w:val="28"/>
          <w:szCs w:val="28"/>
        </w:rPr>
        <w:t>.</w:t>
      </w:r>
    </w:p>
    <w:p w14:paraId="5FC86771" w14:textId="77777777" w:rsidR="000F7728" w:rsidRPr="00FA7024" w:rsidRDefault="000F7728" w:rsidP="00C156AA">
      <w:pPr>
        <w:pStyle w:val="4"/>
      </w:pPr>
      <w:r w:rsidRPr="00C156AA">
        <w:rPr>
          <w:color w:val="2F5496" w:themeColor="accent1" w:themeShade="BF"/>
          <w:rtl/>
          <w:lang w:bidi="ar-SA"/>
        </w:rPr>
        <w:lastRenderedPageBreak/>
        <w:t>اشکال به تقدیر دوم</w:t>
      </w:r>
    </w:p>
    <w:p w14:paraId="26353D2F" w14:textId="5730CBE4" w:rsidR="000F7728" w:rsidRPr="00FA7024" w:rsidRDefault="000F7728" w:rsidP="00C156AA">
      <w:pPr>
        <w:rPr>
          <w:sz w:val="28"/>
          <w:szCs w:val="28"/>
        </w:rPr>
      </w:pPr>
      <w:r w:rsidRPr="00FA7024">
        <w:rPr>
          <w:sz w:val="28"/>
          <w:szCs w:val="28"/>
          <w:rtl/>
          <w:lang w:bidi="ar-SA"/>
        </w:rPr>
        <w:t xml:space="preserve">در تقدیر دوم (تعمیم لا تعاد به جهل عذری)، مرحوم </w:t>
      </w:r>
      <w:r w:rsidR="00BA7689">
        <w:rPr>
          <w:rFonts w:hint="cs"/>
          <w:sz w:val="28"/>
          <w:szCs w:val="28"/>
          <w:rtl/>
        </w:rPr>
        <w:t xml:space="preserve">آقای </w:t>
      </w:r>
      <w:r w:rsidRPr="00FA7024">
        <w:rPr>
          <w:sz w:val="28"/>
          <w:szCs w:val="28"/>
          <w:rtl/>
          <w:lang w:bidi="ar-SA"/>
        </w:rPr>
        <w:t xml:space="preserve">حکیم ادعا کردند که نسبت بین موثقه و حدیث لا تعاد، </w:t>
      </w:r>
      <w:r w:rsidR="00C156AA">
        <w:rPr>
          <w:rFonts w:hint="cs"/>
          <w:sz w:val="28"/>
          <w:szCs w:val="28"/>
          <w:rtl/>
        </w:rPr>
        <w:t>«</w:t>
      </w:r>
      <w:r w:rsidRPr="00FA7024">
        <w:rPr>
          <w:sz w:val="28"/>
          <w:szCs w:val="28"/>
          <w:rtl/>
          <w:lang w:bidi="ar-SA"/>
        </w:rPr>
        <w:t>عموم و خصوص مطلق» می‌شود. این ادعا نیز قابل مناقشه است؛ زیرا نسبت بین این دو دلیل، چه قبل از تخصیص موثقه به صحیحه عبدالرحمن و چه پس از آن، همچنان «عموم و خصوص من وجه» است و به اخص مطلق منقلب نمی‌شود</w:t>
      </w:r>
      <w:r w:rsidRPr="00FA7024">
        <w:rPr>
          <w:sz w:val="28"/>
          <w:szCs w:val="28"/>
        </w:rPr>
        <w:t>.</w:t>
      </w:r>
    </w:p>
    <w:p w14:paraId="6378F376" w14:textId="77777777" w:rsidR="000F7728" w:rsidRPr="00FA7024" w:rsidRDefault="000F7728" w:rsidP="000F7728">
      <w:pPr>
        <w:rPr>
          <w:sz w:val="28"/>
          <w:szCs w:val="28"/>
        </w:rPr>
      </w:pPr>
      <w:r w:rsidRPr="00FA7024">
        <w:rPr>
          <w:sz w:val="28"/>
          <w:szCs w:val="28"/>
          <w:rtl/>
          <w:lang w:bidi="ar-SA"/>
        </w:rPr>
        <w:t>دلیل بقای نسبت من وجه آن است که حدیث لا تعاد (حتی با فرض تعمیم) شامل «جهل تقصیری» نمی‌شود، در حالی که موثقه ابن‌بکیر (حتی بنا بر فرض تأسیسی بودن) مطلق است و هم نسیان و هم جهل (اعم از قصوری و تقصیری، موضوعی و حکمی) را در بر می‌گیرد. بنابراین</w:t>
      </w:r>
      <w:r w:rsidRPr="00FA7024">
        <w:rPr>
          <w:sz w:val="28"/>
          <w:szCs w:val="28"/>
        </w:rPr>
        <w:t>:</w:t>
      </w:r>
    </w:p>
    <w:p w14:paraId="3220E955" w14:textId="230B9E07" w:rsidR="000F7728" w:rsidRPr="00FA7024" w:rsidRDefault="000F7728" w:rsidP="00C156AA">
      <w:pPr>
        <w:numPr>
          <w:ilvl w:val="0"/>
          <w:numId w:val="34"/>
        </w:numPr>
        <w:rPr>
          <w:sz w:val="28"/>
          <w:szCs w:val="28"/>
        </w:rPr>
      </w:pPr>
      <w:r w:rsidRPr="00FA7024">
        <w:rPr>
          <w:b/>
          <w:bCs/>
          <w:sz w:val="28"/>
          <w:szCs w:val="28"/>
          <w:rtl/>
          <w:lang w:bidi="ar-SA"/>
        </w:rPr>
        <w:t>ماده افتراق موثقه</w:t>
      </w:r>
      <w:r w:rsidRPr="00FA7024">
        <w:rPr>
          <w:b/>
          <w:bCs/>
          <w:sz w:val="28"/>
          <w:szCs w:val="28"/>
        </w:rPr>
        <w:t>:</w:t>
      </w:r>
      <w:r w:rsidRPr="00FA7024">
        <w:rPr>
          <w:sz w:val="28"/>
          <w:szCs w:val="28"/>
        </w:rPr>
        <w:t> </w:t>
      </w:r>
      <w:r w:rsidRPr="00FA7024">
        <w:rPr>
          <w:sz w:val="28"/>
          <w:szCs w:val="28"/>
          <w:rtl/>
          <w:lang w:bidi="ar-SA"/>
        </w:rPr>
        <w:t>جهل به حکمِ تقصیری در ما لا یؤکل </w:t>
      </w:r>
      <w:r w:rsidR="00C156AA">
        <w:rPr>
          <w:rFonts w:hint="cs"/>
          <w:sz w:val="28"/>
          <w:szCs w:val="28"/>
          <w:rtl/>
        </w:rPr>
        <w:t>(</w:t>
      </w:r>
      <w:r w:rsidRPr="00FA7024">
        <w:rPr>
          <w:sz w:val="28"/>
          <w:szCs w:val="28"/>
          <w:rtl/>
          <w:lang w:bidi="ar-SA"/>
        </w:rPr>
        <w:t>که حدیث لا تعاد قطعاً آن را شامل نمی‌شود، خواه جهل تقصیری مع التردید باشد و خواه با اعتقاد به صحت، کما هو مختار مرحوم آیت‌الله خویی</w:t>
      </w:r>
      <w:r w:rsidR="00C156AA">
        <w:rPr>
          <w:rFonts w:hint="cs"/>
          <w:sz w:val="28"/>
          <w:szCs w:val="28"/>
          <w:rtl/>
          <w:lang w:bidi="ar-SA"/>
        </w:rPr>
        <w:t xml:space="preserve"> </w:t>
      </w:r>
      <w:proofErr w:type="spellStart"/>
      <w:r w:rsidR="00C156AA">
        <w:rPr>
          <w:rFonts w:hint="cs"/>
          <w:sz w:val="28"/>
          <w:szCs w:val="28"/>
          <w:rtl/>
        </w:rPr>
        <w:t>يا</w:t>
      </w:r>
      <w:proofErr w:type="spellEnd"/>
      <w:r w:rsidR="00C156AA">
        <w:rPr>
          <w:rFonts w:hint="cs"/>
          <w:sz w:val="28"/>
          <w:szCs w:val="28"/>
          <w:rtl/>
        </w:rPr>
        <w:t xml:space="preserve"> خصوص </w:t>
      </w:r>
      <w:r w:rsidR="00C156AA" w:rsidRPr="00FA7024">
        <w:rPr>
          <w:sz w:val="28"/>
          <w:szCs w:val="28"/>
          <w:rtl/>
          <w:lang w:bidi="ar-SA"/>
        </w:rPr>
        <w:t>جهل تقصیری مع التردید</w:t>
      </w:r>
      <w:r w:rsidR="00C156AA">
        <w:rPr>
          <w:rFonts w:hint="cs"/>
          <w:sz w:val="28"/>
          <w:szCs w:val="28"/>
          <w:rtl/>
          <w:lang w:bidi="ar-SA"/>
        </w:rPr>
        <w:t xml:space="preserve"> کما هو مختار مرحوم امام و مرحوم آيت الله تبریزی)</w:t>
      </w:r>
      <w:r w:rsidR="00C156AA">
        <w:rPr>
          <w:rFonts w:hint="cs"/>
          <w:sz w:val="28"/>
          <w:szCs w:val="28"/>
          <w:rtl/>
        </w:rPr>
        <w:t xml:space="preserve"> </w:t>
      </w:r>
      <w:r w:rsidRPr="00FA7024">
        <w:rPr>
          <w:sz w:val="28"/>
          <w:szCs w:val="28"/>
        </w:rPr>
        <w:t>.</w:t>
      </w:r>
    </w:p>
    <w:p w14:paraId="33A43833" w14:textId="0C03B3C0" w:rsidR="000F7728" w:rsidRPr="00FA7024" w:rsidRDefault="000F7728" w:rsidP="00BA7689">
      <w:pPr>
        <w:numPr>
          <w:ilvl w:val="0"/>
          <w:numId w:val="34"/>
        </w:numPr>
        <w:rPr>
          <w:sz w:val="28"/>
          <w:szCs w:val="28"/>
        </w:rPr>
      </w:pPr>
      <w:r w:rsidRPr="00FA7024">
        <w:rPr>
          <w:b/>
          <w:bCs/>
          <w:sz w:val="28"/>
          <w:szCs w:val="28"/>
          <w:rtl/>
          <w:lang w:bidi="ar-SA"/>
        </w:rPr>
        <w:t>ماده افتراق حدیث لا تعاد</w:t>
      </w:r>
      <w:r w:rsidRPr="00FA7024">
        <w:rPr>
          <w:b/>
          <w:bCs/>
          <w:sz w:val="28"/>
          <w:szCs w:val="28"/>
        </w:rPr>
        <w:t>:</w:t>
      </w:r>
      <w:r w:rsidRPr="00FA7024">
        <w:rPr>
          <w:sz w:val="28"/>
          <w:szCs w:val="28"/>
        </w:rPr>
        <w:t> </w:t>
      </w:r>
      <w:r w:rsidRPr="00FA7024">
        <w:rPr>
          <w:sz w:val="28"/>
          <w:szCs w:val="28"/>
          <w:rtl/>
          <w:lang w:bidi="ar-SA"/>
        </w:rPr>
        <w:t>موارد اخلال به غیر ما لا یؤکل </w:t>
      </w:r>
      <w:r w:rsidR="00BA7689">
        <w:rPr>
          <w:rFonts w:hint="cs"/>
          <w:sz w:val="28"/>
          <w:szCs w:val="28"/>
          <w:rtl/>
        </w:rPr>
        <w:t>(</w:t>
      </w:r>
      <w:r w:rsidRPr="00FA7024">
        <w:rPr>
          <w:sz w:val="28"/>
          <w:szCs w:val="28"/>
          <w:rtl/>
          <w:lang w:bidi="ar-SA"/>
        </w:rPr>
        <w:t>سایر اجزا، شرایط و موانع</w:t>
      </w:r>
      <w:r w:rsidR="00BA7689">
        <w:rPr>
          <w:rFonts w:hint="cs"/>
          <w:sz w:val="28"/>
          <w:szCs w:val="28"/>
          <w:rtl/>
        </w:rPr>
        <w:t>)</w:t>
      </w:r>
      <w:r w:rsidRPr="00FA7024">
        <w:rPr>
          <w:sz w:val="28"/>
          <w:szCs w:val="28"/>
        </w:rPr>
        <w:t>.</w:t>
      </w:r>
    </w:p>
    <w:p w14:paraId="3E0CB998" w14:textId="77777777" w:rsidR="000F7728" w:rsidRPr="00FA7024" w:rsidRDefault="000F7728" w:rsidP="000F7728">
      <w:pPr>
        <w:numPr>
          <w:ilvl w:val="0"/>
          <w:numId w:val="34"/>
        </w:numPr>
        <w:rPr>
          <w:sz w:val="28"/>
          <w:szCs w:val="28"/>
        </w:rPr>
      </w:pPr>
      <w:r w:rsidRPr="00FA7024">
        <w:rPr>
          <w:b/>
          <w:bCs/>
          <w:sz w:val="28"/>
          <w:szCs w:val="28"/>
          <w:rtl/>
          <w:lang w:bidi="ar-SA"/>
        </w:rPr>
        <w:t>ماده اجتماع</w:t>
      </w:r>
      <w:r w:rsidRPr="00FA7024">
        <w:rPr>
          <w:b/>
          <w:bCs/>
          <w:sz w:val="28"/>
          <w:szCs w:val="28"/>
        </w:rPr>
        <w:t>:</w:t>
      </w:r>
      <w:r w:rsidRPr="00FA7024">
        <w:rPr>
          <w:sz w:val="28"/>
          <w:szCs w:val="28"/>
        </w:rPr>
        <w:t> </w:t>
      </w:r>
      <w:r w:rsidRPr="00FA7024">
        <w:rPr>
          <w:sz w:val="28"/>
          <w:szCs w:val="28"/>
          <w:rtl/>
          <w:lang w:bidi="ar-SA"/>
        </w:rPr>
        <w:t>نسیان و جهل به حکم قصوری در ما لا یؤکل</w:t>
      </w:r>
      <w:r w:rsidRPr="00FA7024">
        <w:rPr>
          <w:sz w:val="28"/>
          <w:szCs w:val="28"/>
        </w:rPr>
        <w:t>.</w:t>
      </w:r>
    </w:p>
    <w:p w14:paraId="0938D77C" w14:textId="77777777" w:rsidR="000F7728" w:rsidRPr="00FA7024" w:rsidRDefault="000F7728" w:rsidP="000F7728">
      <w:pPr>
        <w:rPr>
          <w:sz w:val="28"/>
          <w:szCs w:val="28"/>
        </w:rPr>
      </w:pPr>
      <w:r w:rsidRPr="00FA7024">
        <w:rPr>
          <w:sz w:val="28"/>
          <w:szCs w:val="28"/>
          <w:rtl/>
          <w:lang w:bidi="ar-SA"/>
        </w:rPr>
        <w:t>با احراز ارکان عموم و خصوص من وجه، این دو دلیل در ماده اجتماع تعارض کرده و پس از تساقط، باید به «عام فوقانی» (دلیل محکوم) رجوع کنیم. دلیل محکوم در اینجا، همان ادله اولیه‌ای است که دلالت بر مانعیت اجزای ما لا یؤکل در نماز دارند (مانند جمله اول موثقه ابن‌بکیر و موثقه سماعه). مقتضای این ادله اولیه، بطلان عمل در موارد خلل است</w:t>
      </w:r>
      <w:r w:rsidRPr="00FA7024">
        <w:rPr>
          <w:sz w:val="28"/>
          <w:szCs w:val="28"/>
        </w:rPr>
        <w:t>.</w:t>
      </w:r>
    </w:p>
    <w:p w14:paraId="64AF6CA9" w14:textId="0513858D" w:rsidR="000F7728" w:rsidRPr="00FA7024" w:rsidRDefault="000F7728" w:rsidP="000F7728">
      <w:pPr>
        <w:rPr>
          <w:sz w:val="28"/>
          <w:szCs w:val="28"/>
        </w:rPr>
      </w:pPr>
      <w:r w:rsidRPr="00FA7024">
        <w:rPr>
          <w:sz w:val="28"/>
          <w:szCs w:val="28"/>
          <w:rtl/>
          <w:lang w:bidi="ar-SA"/>
        </w:rPr>
        <w:t>بنابراین، نتیجه نهایی در تقدیر دوم این می‌شود که در نسیان (موضوعی و حکمی) و در جهل به حکم (قصوری و تقصیری) حکم به فساد می‌شود. تنها موردی که محکوم به صحت است، «جهل به موضوع» می‌باشد که آن هم مستند به خروج تخصصی</w:t>
      </w:r>
      <w:r w:rsidR="00BA7689">
        <w:rPr>
          <w:rFonts w:hint="cs"/>
          <w:sz w:val="28"/>
          <w:szCs w:val="28"/>
          <w:rtl/>
          <w:lang w:bidi="ar-SA"/>
        </w:rPr>
        <w:t xml:space="preserve"> ا</w:t>
      </w:r>
      <w:r w:rsidRPr="00FA7024">
        <w:rPr>
          <w:sz w:val="28"/>
          <w:szCs w:val="28"/>
          <w:rtl/>
          <w:lang w:bidi="ar-SA"/>
        </w:rPr>
        <w:t>ش از موثقه به واسطه صحیحه عبدالرحمن است</w:t>
      </w:r>
      <w:r w:rsidRPr="00FA7024">
        <w:rPr>
          <w:sz w:val="28"/>
          <w:szCs w:val="28"/>
        </w:rPr>
        <w:t>.</w:t>
      </w:r>
    </w:p>
    <w:p w14:paraId="38E88D93" w14:textId="77777777" w:rsidR="000F7728" w:rsidRPr="00FA7024" w:rsidRDefault="000F7728" w:rsidP="000F7728">
      <w:pPr>
        <w:rPr>
          <w:sz w:val="28"/>
          <w:szCs w:val="28"/>
        </w:rPr>
      </w:pPr>
      <w:r w:rsidRPr="00FA7024">
        <w:rPr>
          <w:sz w:val="28"/>
          <w:szCs w:val="28"/>
          <w:rtl/>
          <w:lang w:bidi="ar-SA"/>
        </w:rPr>
        <w:t>نتیجه‌گیری در فرض تأسیسی بودن مفاد موثقه</w:t>
      </w:r>
    </w:p>
    <w:p w14:paraId="4C8C15BF" w14:textId="77777777" w:rsidR="000F7728" w:rsidRPr="00FA7024" w:rsidRDefault="000F7728" w:rsidP="000F7728">
      <w:pPr>
        <w:rPr>
          <w:sz w:val="28"/>
          <w:szCs w:val="28"/>
        </w:rPr>
      </w:pPr>
      <w:r w:rsidRPr="00FA7024">
        <w:rPr>
          <w:sz w:val="28"/>
          <w:szCs w:val="28"/>
          <w:rtl/>
          <w:lang w:bidi="ar-SA"/>
        </w:rPr>
        <w:t xml:space="preserve">حاصل بحث آنکه در هر دو تقدیرِ متصور برای فرض تأسیسی بودن مفاد جمله دوم موثقه، نسبت بین موثقه و حدیث لا تعاد، </w:t>
      </w:r>
      <w:r w:rsidRPr="00FA7024">
        <w:rPr>
          <w:sz w:val="28"/>
          <w:szCs w:val="28"/>
        </w:rPr>
        <w:t>«</w:t>
      </w:r>
      <w:r w:rsidRPr="00FA7024">
        <w:rPr>
          <w:sz w:val="28"/>
          <w:szCs w:val="28"/>
          <w:rtl/>
          <w:lang w:bidi="ar-SA"/>
        </w:rPr>
        <w:t>عموم و خصوص من وجه» است و به تعارض و رجوع به عام فوقانی (دلیل محکوم) می‌انجامد. تنها تفاوت دو تقدیر در این است که</w:t>
      </w:r>
      <w:r w:rsidRPr="00FA7024">
        <w:rPr>
          <w:sz w:val="28"/>
          <w:szCs w:val="28"/>
        </w:rPr>
        <w:t>:</w:t>
      </w:r>
    </w:p>
    <w:p w14:paraId="352B15F5" w14:textId="77777777" w:rsidR="000F7728" w:rsidRPr="00FA7024" w:rsidRDefault="000F7728" w:rsidP="000F7728">
      <w:pPr>
        <w:numPr>
          <w:ilvl w:val="0"/>
          <w:numId w:val="35"/>
        </w:numPr>
        <w:rPr>
          <w:sz w:val="28"/>
          <w:szCs w:val="28"/>
        </w:rPr>
      </w:pPr>
      <w:r w:rsidRPr="00FA7024">
        <w:rPr>
          <w:sz w:val="28"/>
          <w:szCs w:val="28"/>
          <w:rtl/>
          <w:lang w:bidi="ar-SA"/>
        </w:rPr>
        <w:t>در </w:t>
      </w:r>
      <w:r w:rsidRPr="00FA7024">
        <w:rPr>
          <w:b/>
          <w:bCs/>
          <w:sz w:val="28"/>
          <w:szCs w:val="28"/>
          <w:rtl/>
          <w:lang w:bidi="ar-SA"/>
        </w:rPr>
        <w:t>تقدیر اول</w:t>
      </w:r>
      <w:r w:rsidRPr="00FA7024">
        <w:rPr>
          <w:sz w:val="28"/>
          <w:szCs w:val="28"/>
          <w:rtl/>
          <w:lang w:bidi="ar-SA"/>
        </w:rPr>
        <w:t>، ماده اجتماع (که حکمش از دلیل محکوم اخذ می‌شود) منحصراً «نسیان» است. اما حکم بطلان در جهل به حکم، مستند به خود موثقه است (چون در این تقدیر، موثقه در ناحیه جهل معارضی ندارد)</w:t>
      </w:r>
      <w:r w:rsidRPr="00FA7024">
        <w:rPr>
          <w:sz w:val="28"/>
          <w:szCs w:val="28"/>
        </w:rPr>
        <w:t>.</w:t>
      </w:r>
    </w:p>
    <w:p w14:paraId="50F61C1D" w14:textId="77777777" w:rsidR="000F7728" w:rsidRPr="00FA7024" w:rsidRDefault="000F7728" w:rsidP="000F7728">
      <w:pPr>
        <w:numPr>
          <w:ilvl w:val="0"/>
          <w:numId w:val="35"/>
        </w:numPr>
        <w:rPr>
          <w:sz w:val="28"/>
          <w:szCs w:val="28"/>
        </w:rPr>
      </w:pPr>
      <w:r w:rsidRPr="00FA7024">
        <w:rPr>
          <w:sz w:val="28"/>
          <w:szCs w:val="28"/>
          <w:rtl/>
          <w:lang w:bidi="ar-SA"/>
        </w:rPr>
        <w:lastRenderedPageBreak/>
        <w:t>در </w:t>
      </w:r>
      <w:r w:rsidRPr="00FA7024">
        <w:rPr>
          <w:b/>
          <w:bCs/>
          <w:sz w:val="28"/>
          <w:szCs w:val="28"/>
          <w:rtl/>
          <w:lang w:bidi="ar-SA"/>
        </w:rPr>
        <w:t>تقدیر دوم</w:t>
      </w:r>
      <w:r w:rsidRPr="00FA7024">
        <w:rPr>
          <w:sz w:val="28"/>
          <w:szCs w:val="28"/>
          <w:rtl/>
          <w:lang w:bidi="ar-SA"/>
        </w:rPr>
        <w:t>، ماده اجتماع علاوه بر نسیان، شامل «جهل به حکم قصوری» نیز می‌شود؛ لذا حکم بطلان در جهل قصوری نیز مستند به دلیل محکوم خواهد بود</w:t>
      </w:r>
      <w:r w:rsidRPr="00FA7024">
        <w:rPr>
          <w:sz w:val="28"/>
          <w:szCs w:val="28"/>
        </w:rPr>
        <w:t>.</w:t>
      </w:r>
      <w:r w:rsidRPr="00FA7024">
        <w:rPr>
          <w:sz w:val="28"/>
          <w:szCs w:val="28"/>
        </w:rPr>
        <w:br/>
      </w:r>
      <w:r w:rsidRPr="00FA7024">
        <w:rPr>
          <w:sz w:val="28"/>
          <w:szCs w:val="28"/>
          <w:rtl/>
          <w:lang w:bidi="ar-SA"/>
        </w:rPr>
        <w:t>در نهایت، از نظر نتیجه فقهی (حکم به بطلان)، تفاوتی بین این دو تقدیر وجود ندارد</w:t>
      </w:r>
      <w:r w:rsidRPr="00FA7024">
        <w:rPr>
          <w:sz w:val="28"/>
          <w:szCs w:val="28"/>
        </w:rPr>
        <w:t>.</w:t>
      </w:r>
    </w:p>
    <w:p w14:paraId="0CA162A6" w14:textId="77777777" w:rsidR="000F7728" w:rsidRPr="00FA7024" w:rsidRDefault="000F7728" w:rsidP="000F7728">
      <w:pPr>
        <w:rPr>
          <w:sz w:val="28"/>
          <w:szCs w:val="28"/>
        </w:rPr>
      </w:pPr>
      <w:r w:rsidRPr="00FA7024">
        <w:rPr>
          <w:sz w:val="28"/>
          <w:szCs w:val="28"/>
          <w:rtl/>
          <w:lang w:bidi="ar-SA"/>
        </w:rPr>
        <w:t>اشاره به فرض تأکیدی بودن مفاد موثقه</w:t>
      </w:r>
    </w:p>
    <w:p w14:paraId="2652332D" w14:textId="77777777" w:rsidR="000F7728" w:rsidRPr="00FA7024" w:rsidRDefault="000F7728" w:rsidP="000F7728">
      <w:pPr>
        <w:rPr>
          <w:sz w:val="28"/>
          <w:szCs w:val="28"/>
        </w:rPr>
      </w:pPr>
      <w:r w:rsidRPr="00FA7024">
        <w:rPr>
          <w:sz w:val="28"/>
          <w:szCs w:val="28"/>
          <w:rtl/>
          <w:lang w:bidi="ar-SA"/>
        </w:rPr>
        <w:t>اما اگر مفاد جمله دوم موثقه ابن‌بکیر را «تأکیدی» بدانیم، مقتضای جمع چه خواهد بود؟ مرحوم آیت‌الله خویی در اینجا مجدداً ادعای پیشین خود را تکرار فرموده و نتیجه جمع را مطابق با فتوای مرحوم سید در متن </w:t>
      </w:r>
      <w:r w:rsidRPr="00FA7024">
        <w:rPr>
          <w:i/>
          <w:iCs/>
          <w:sz w:val="28"/>
          <w:szCs w:val="28"/>
          <w:rtl/>
          <w:lang w:bidi="ar-SA"/>
        </w:rPr>
        <w:t>العروة</w:t>
      </w:r>
      <w:r w:rsidRPr="00FA7024">
        <w:rPr>
          <w:sz w:val="28"/>
          <w:szCs w:val="28"/>
          <w:rtl/>
          <w:lang w:bidi="ar-SA"/>
        </w:rPr>
        <w:t> (صحت مطلق در موارد جهل و نسیان) دانسته‌اند. مناقشه در این فرمایش مرحوم خویی پیش‌تر به تفصیل بیان شد که اگر مفاد موثقه تأکید باشد، مقتضای جمع ادله، فتوای مرحوم سید نخواهد بود و نتیجه به نحو دیگری رقم خواهد خورد</w:t>
      </w:r>
      <w:r w:rsidRPr="00FA7024">
        <w:rPr>
          <w:sz w:val="28"/>
          <w:szCs w:val="28"/>
        </w:rPr>
        <w:t>.</w:t>
      </w:r>
    </w:p>
    <w:p w14:paraId="144E10AB" w14:textId="11DB178D" w:rsidR="0013091F" w:rsidRPr="00FA7024" w:rsidRDefault="0013091F" w:rsidP="000F7728">
      <w:pPr>
        <w:rPr>
          <w:sz w:val="28"/>
          <w:szCs w:val="28"/>
          <w:rtl/>
        </w:rPr>
      </w:pPr>
      <w:bookmarkStart w:id="0" w:name="_GoBack"/>
      <w:bookmarkEnd w:id="0"/>
    </w:p>
    <w:sectPr w:rsidR="0013091F" w:rsidRPr="00FA7024" w:rsidSect="0051553B">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0A27C5" w14:textId="77777777" w:rsidR="005C7BD1" w:rsidRDefault="005C7BD1" w:rsidP="00292230">
      <w:r>
        <w:separator/>
      </w:r>
    </w:p>
  </w:endnote>
  <w:endnote w:type="continuationSeparator" w:id="0">
    <w:p w14:paraId="42E26C8F" w14:textId="77777777" w:rsidR="005C7BD1" w:rsidRDefault="005C7BD1" w:rsidP="00292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ahel FD">
    <w:altName w:val="Arial"/>
    <w:charset w:val="00"/>
    <w:family w:val="swiss"/>
    <w:pitch w:val="variable"/>
    <w:sig w:usb0="00000000" w:usb1="80000000" w:usb2="00000008" w:usb3="00000000" w:csb0="00000041" w:csb1="00000000"/>
  </w:font>
  <w:font w:name="Sahel">
    <w:charset w:val="00"/>
    <w:family w:val="swiss"/>
    <w:pitch w:val="variable"/>
    <w:sig w:usb0="8000200F"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01617C" w14:textId="77777777" w:rsidR="005C7BD1" w:rsidRDefault="005C7BD1" w:rsidP="00292230">
      <w:r>
        <w:separator/>
      </w:r>
    </w:p>
  </w:footnote>
  <w:footnote w:type="continuationSeparator" w:id="0">
    <w:p w14:paraId="53FEA55C" w14:textId="77777777" w:rsidR="005C7BD1" w:rsidRDefault="005C7BD1" w:rsidP="002922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440886523"/>
      <w:docPartObj>
        <w:docPartGallery w:val="Page Numbers (Top of Page)"/>
        <w:docPartUnique/>
      </w:docPartObj>
    </w:sdtPr>
    <w:sdtEndPr>
      <w:rPr>
        <w:noProof/>
      </w:rPr>
    </w:sdtEndPr>
    <w:sdtContent>
      <w:p w14:paraId="43364847" w14:textId="7D10EB67" w:rsidR="00C156AA" w:rsidRDefault="00C156AA">
        <w:pPr>
          <w:pStyle w:val="a3"/>
          <w:jc w:val="right"/>
        </w:pPr>
        <w:r>
          <w:fldChar w:fldCharType="begin"/>
        </w:r>
        <w:r>
          <w:instrText xml:space="preserve"> PAGE   \* MERGEFORMAT </w:instrText>
        </w:r>
        <w:r>
          <w:fldChar w:fldCharType="separate"/>
        </w:r>
        <w:r w:rsidR="00BA7689">
          <w:rPr>
            <w:noProof/>
            <w:rtl/>
          </w:rPr>
          <w:t>5</w:t>
        </w:r>
        <w:r>
          <w:rPr>
            <w:noProof/>
          </w:rPr>
          <w:fldChar w:fldCharType="end"/>
        </w:r>
      </w:p>
    </w:sdtContent>
  </w:sdt>
  <w:p w14:paraId="4BA7231C" w14:textId="77777777" w:rsidR="00C156AA" w:rsidRDefault="00C156AA">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63680"/>
    <w:multiLevelType w:val="multilevel"/>
    <w:tmpl w:val="1C206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686ED4"/>
    <w:multiLevelType w:val="multilevel"/>
    <w:tmpl w:val="2B781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DB4D5F"/>
    <w:multiLevelType w:val="multilevel"/>
    <w:tmpl w:val="04244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9BF1FCC"/>
    <w:multiLevelType w:val="multilevel"/>
    <w:tmpl w:val="278EF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E3940A5"/>
    <w:multiLevelType w:val="multilevel"/>
    <w:tmpl w:val="756C4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F18354E"/>
    <w:multiLevelType w:val="multilevel"/>
    <w:tmpl w:val="50B47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0FC4BD6"/>
    <w:multiLevelType w:val="multilevel"/>
    <w:tmpl w:val="0D304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20E4F69"/>
    <w:multiLevelType w:val="multilevel"/>
    <w:tmpl w:val="75C2F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3AA1797"/>
    <w:multiLevelType w:val="multilevel"/>
    <w:tmpl w:val="4D729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43565AF"/>
    <w:multiLevelType w:val="multilevel"/>
    <w:tmpl w:val="737CF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6655963"/>
    <w:multiLevelType w:val="multilevel"/>
    <w:tmpl w:val="CD468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78462E2"/>
    <w:multiLevelType w:val="multilevel"/>
    <w:tmpl w:val="7084D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038368A"/>
    <w:multiLevelType w:val="multilevel"/>
    <w:tmpl w:val="F9C8F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E787E3E"/>
    <w:multiLevelType w:val="multilevel"/>
    <w:tmpl w:val="C45E0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2B5766B"/>
    <w:multiLevelType w:val="multilevel"/>
    <w:tmpl w:val="57BA0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4642C66"/>
    <w:multiLevelType w:val="multilevel"/>
    <w:tmpl w:val="177EB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89A1AC9"/>
    <w:multiLevelType w:val="multilevel"/>
    <w:tmpl w:val="A8044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C04EF2"/>
    <w:multiLevelType w:val="multilevel"/>
    <w:tmpl w:val="B7688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F21141D"/>
    <w:multiLevelType w:val="multilevel"/>
    <w:tmpl w:val="9DD2E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51A4AA1"/>
    <w:multiLevelType w:val="multilevel"/>
    <w:tmpl w:val="9B744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58364E9"/>
    <w:multiLevelType w:val="multilevel"/>
    <w:tmpl w:val="F1F4C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86169E5"/>
    <w:multiLevelType w:val="multilevel"/>
    <w:tmpl w:val="7C309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BDA2B00"/>
    <w:multiLevelType w:val="multilevel"/>
    <w:tmpl w:val="95123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07561B6"/>
    <w:multiLevelType w:val="multilevel"/>
    <w:tmpl w:val="8CD08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12B27DA"/>
    <w:multiLevelType w:val="multilevel"/>
    <w:tmpl w:val="0D805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2F96ECF"/>
    <w:multiLevelType w:val="multilevel"/>
    <w:tmpl w:val="A7002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43947F3"/>
    <w:multiLevelType w:val="multilevel"/>
    <w:tmpl w:val="FF9C8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8575431"/>
    <w:multiLevelType w:val="multilevel"/>
    <w:tmpl w:val="54FCE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42C3151"/>
    <w:multiLevelType w:val="multilevel"/>
    <w:tmpl w:val="6002B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5664D01"/>
    <w:multiLevelType w:val="multilevel"/>
    <w:tmpl w:val="D39A5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0E435A6"/>
    <w:multiLevelType w:val="multilevel"/>
    <w:tmpl w:val="AEAA5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1E47C37"/>
    <w:multiLevelType w:val="multilevel"/>
    <w:tmpl w:val="15B06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6057316"/>
    <w:multiLevelType w:val="multilevel"/>
    <w:tmpl w:val="CC1E2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9EF0E1E"/>
    <w:multiLevelType w:val="multilevel"/>
    <w:tmpl w:val="9ED86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E8D3496"/>
    <w:multiLevelType w:val="multilevel"/>
    <w:tmpl w:val="4028B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26"/>
  </w:num>
  <w:num w:numId="3">
    <w:abstractNumId w:val="7"/>
  </w:num>
  <w:num w:numId="4">
    <w:abstractNumId w:val="13"/>
  </w:num>
  <w:num w:numId="5">
    <w:abstractNumId w:val="6"/>
  </w:num>
  <w:num w:numId="6">
    <w:abstractNumId w:val="22"/>
  </w:num>
  <w:num w:numId="7">
    <w:abstractNumId w:val="19"/>
  </w:num>
  <w:num w:numId="8">
    <w:abstractNumId w:val="8"/>
  </w:num>
  <w:num w:numId="9">
    <w:abstractNumId w:val="33"/>
  </w:num>
  <w:num w:numId="10">
    <w:abstractNumId w:val="5"/>
  </w:num>
  <w:num w:numId="11">
    <w:abstractNumId w:val="14"/>
  </w:num>
  <w:num w:numId="12">
    <w:abstractNumId w:val="3"/>
  </w:num>
  <w:num w:numId="13">
    <w:abstractNumId w:val="0"/>
  </w:num>
  <w:num w:numId="14">
    <w:abstractNumId w:val="21"/>
  </w:num>
  <w:num w:numId="15">
    <w:abstractNumId w:val="31"/>
  </w:num>
  <w:num w:numId="16">
    <w:abstractNumId w:val="1"/>
  </w:num>
  <w:num w:numId="17">
    <w:abstractNumId w:val="24"/>
  </w:num>
  <w:num w:numId="18">
    <w:abstractNumId w:val="20"/>
  </w:num>
  <w:num w:numId="19">
    <w:abstractNumId w:val="23"/>
  </w:num>
  <w:num w:numId="20">
    <w:abstractNumId w:val="12"/>
  </w:num>
  <w:num w:numId="21">
    <w:abstractNumId w:val="4"/>
  </w:num>
  <w:num w:numId="22">
    <w:abstractNumId w:val="15"/>
  </w:num>
  <w:num w:numId="23">
    <w:abstractNumId w:val="16"/>
  </w:num>
  <w:num w:numId="24">
    <w:abstractNumId w:val="10"/>
  </w:num>
  <w:num w:numId="25">
    <w:abstractNumId w:val="17"/>
  </w:num>
  <w:num w:numId="26">
    <w:abstractNumId w:val="30"/>
  </w:num>
  <w:num w:numId="27">
    <w:abstractNumId w:val="32"/>
  </w:num>
  <w:num w:numId="28">
    <w:abstractNumId w:val="34"/>
  </w:num>
  <w:num w:numId="29">
    <w:abstractNumId w:val="28"/>
  </w:num>
  <w:num w:numId="30">
    <w:abstractNumId w:val="25"/>
  </w:num>
  <w:num w:numId="31">
    <w:abstractNumId w:val="27"/>
  </w:num>
  <w:num w:numId="32">
    <w:abstractNumId w:val="29"/>
  </w:num>
  <w:num w:numId="33">
    <w:abstractNumId w:val="11"/>
  </w:num>
  <w:num w:numId="34">
    <w:abstractNumId w:val="2"/>
  </w:num>
  <w:num w:numId="35">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7AE5"/>
    <w:rsid w:val="00024811"/>
    <w:rsid w:val="00030938"/>
    <w:rsid w:val="00035306"/>
    <w:rsid w:val="00065C4A"/>
    <w:rsid w:val="00087F40"/>
    <w:rsid w:val="000A35DE"/>
    <w:rsid w:val="000C15C3"/>
    <w:rsid w:val="000F7728"/>
    <w:rsid w:val="00125E8A"/>
    <w:rsid w:val="0013091F"/>
    <w:rsid w:val="00134AD5"/>
    <w:rsid w:val="00140669"/>
    <w:rsid w:val="00174F16"/>
    <w:rsid w:val="00186DAC"/>
    <w:rsid w:val="00197012"/>
    <w:rsid w:val="001A4386"/>
    <w:rsid w:val="001A74A7"/>
    <w:rsid w:val="00222691"/>
    <w:rsid w:val="00232521"/>
    <w:rsid w:val="00236017"/>
    <w:rsid w:val="00280E47"/>
    <w:rsid w:val="00290EA0"/>
    <w:rsid w:val="00292230"/>
    <w:rsid w:val="002A1BA1"/>
    <w:rsid w:val="002B206C"/>
    <w:rsid w:val="00312E07"/>
    <w:rsid w:val="00324484"/>
    <w:rsid w:val="00324AB1"/>
    <w:rsid w:val="00344B9C"/>
    <w:rsid w:val="003A2F27"/>
    <w:rsid w:val="003E3F63"/>
    <w:rsid w:val="00413A7F"/>
    <w:rsid w:val="00434014"/>
    <w:rsid w:val="004375DC"/>
    <w:rsid w:val="00441FC9"/>
    <w:rsid w:val="00443216"/>
    <w:rsid w:val="00453374"/>
    <w:rsid w:val="004C7681"/>
    <w:rsid w:val="00501346"/>
    <w:rsid w:val="0051553B"/>
    <w:rsid w:val="00515DFD"/>
    <w:rsid w:val="0054159D"/>
    <w:rsid w:val="005569B4"/>
    <w:rsid w:val="00586E96"/>
    <w:rsid w:val="005C7BD1"/>
    <w:rsid w:val="005D297B"/>
    <w:rsid w:val="005D54C4"/>
    <w:rsid w:val="00600ACD"/>
    <w:rsid w:val="00635BE1"/>
    <w:rsid w:val="0066034D"/>
    <w:rsid w:val="006A37AC"/>
    <w:rsid w:val="006A3F60"/>
    <w:rsid w:val="006B49FB"/>
    <w:rsid w:val="006C4CAF"/>
    <w:rsid w:val="006E4359"/>
    <w:rsid w:val="006E6BE1"/>
    <w:rsid w:val="006F22CA"/>
    <w:rsid w:val="006F40A6"/>
    <w:rsid w:val="006F56A8"/>
    <w:rsid w:val="00712806"/>
    <w:rsid w:val="00727907"/>
    <w:rsid w:val="00740F9D"/>
    <w:rsid w:val="007465F6"/>
    <w:rsid w:val="00762B40"/>
    <w:rsid w:val="00780E6D"/>
    <w:rsid w:val="00791C57"/>
    <w:rsid w:val="007955C0"/>
    <w:rsid w:val="007A2CA4"/>
    <w:rsid w:val="007D2384"/>
    <w:rsid w:val="007F61A4"/>
    <w:rsid w:val="00803BC3"/>
    <w:rsid w:val="008111AF"/>
    <w:rsid w:val="00813D8B"/>
    <w:rsid w:val="0082184E"/>
    <w:rsid w:val="00846EA9"/>
    <w:rsid w:val="0088446C"/>
    <w:rsid w:val="008B085F"/>
    <w:rsid w:val="008C664F"/>
    <w:rsid w:val="008D12E3"/>
    <w:rsid w:val="008E482D"/>
    <w:rsid w:val="008E689B"/>
    <w:rsid w:val="008F275D"/>
    <w:rsid w:val="00910FA8"/>
    <w:rsid w:val="009149B3"/>
    <w:rsid w:val="00923326"/>
    <w:rsid w:val="00931980"/>
    <w:rsid w:val="0094392D"/>
    <w:rsid w:val="00966E34"/>
    <w:rsid w:val="00993B52"/>
    <w:rsid w:val="0099684D"/>
    <w:rsid w:val="009A04DD"/>
    <w:rsid w:val="009B1436"/>
    <w:rsid w:val="009B361E"/>
    <w:rsid w:val="009B39CC"/>
    <w:rsid w:val="009D0D81"/>
    <w:rsid w:val="009D29C5"/>
    <w:rsid w:val="00A43D7B"/>
    <w:rsid w:val="00A4780D"/>
    <w:rsid w:val="00AA5BBD"/>
    <w:rsid w:val="00AB035E"/>
    <w:rsid w:val="00AB538E"/>
    <w:rsid w:val="00AD2A5B"/>
    <w:rsid w:val="00AD7FA3"/>
    <w:rsid w:val="00B05EC7"/>
    <w:rsid w:val="00B11DDA"/>
    <w:rsid w:val="00B34C5D"/>
    <w:rsid w:val="00B76658"/>
    <w:rsid w:val="00B90CC3"/>
    <w:rsid w:val="00BA4735"/>
    <w:rsid w:val="00BA7689"/>
    <w:rsid w:val="00BB1A67"/>
    <w:rsid w:val="00BB3E70"/>
    <w:rsid w:val="00BC34BB"/>
    <w:rsid w:val="00BD3C49"/>
    <w:rsid w:val="00BF09B8"/>
    <w:rsid w:val="00BF1C7A"/>
    <w:rsid w:val="00C0362A"/>
    <w:rsid w:val="00C079DC"/>
    <w:rsid w:val="00C11303"/>
    <w:rsid w:val="00C156AA"/>
    <w:rsid w:val="00C27525"/>
    <w:rsid w:val="00C31DCC"/>
    <w:rsid w:val="00C4674B"/>
    <w:rsid w:val="00CA60CC"/>
    <w:rsid w:val="00CA69D5"/>
    <w:rsid w:val="00CB75E1"/>
    <w:rsid w:val="00CC6694"/>
    <w:rsid w:val="00CE5FE4"/>
    <w:rsid w:val="00CF27F3"/>
    <w:rsid w:val="00D011CD"/>
    <w:rsid w:val="00D02938"/>
    <w:rsid w:val="00D05891"/>
    <w:rsid w:val="00D07653"/>
    <w:rsid w:val="00D21BD6"/>
    <w:rsid w:val="00D33ABC"/>
    <w:rsid w:val="00D544E9"/>
    <w:rsid w:val="00D71024"/>
    <w:rsid w:val="00D914D7"/>
    <w:rsid w:val="00D930E5"/>
    <w:rsid w:val="00DA1A5C"/>
    <w:rsid w:val="00DA578E"/>
    <w:rsid w:val="00DC13F5"/>
    <w:rsid w:val="00DC4844"/>
    <w:rsid w:val="00DD2914"/>
    <w:rsid w:val="00E004B4"/>
    <w:rsid w:val="00E0121F"/>
    <w:rsid w:val="00E50495"/>
    <w:rsid w:val="00E52BEC"/>
    <w:rsid w:val="00E63759"/>
    <w:rsid w:val="00E66FBD"/>
    <w:rsid w:val="00E71E8E"/>
    <w:rsid w:val="00E87BC3"/>
    <w:rsid w:val="00E95E04"/>
    <w:rsid w:val="00EA2D8C"/>
    <w:rsid w:val="00EB7AE5"/>
    <w:rsid w:val="00EC4418"/>
    <w:rsid w:val="00EC6F90"/>
    <w:rsid w:val="00ED1990"/>
    <w:rsid w:val="00EF3675"/>
    <w:rsid w:val="00F16F5C"/>
    <w:rsid w:val="00F238AF"/>
    <w:rsid w:val="00F37E5C"/>
    <w:rsid w:val="00F43B0E"/>
    <w:rsid w:val="00F66EFD"/>
    <w:rsid w:val="00F757F4"/>
    <w:rsid w:val="00F822AC"/>
    <w:rsid w:val="00F86F4A"/>
    <w:rsid w:val="00F936DE"/>
    <w:rsid w:val="00FA7024"/>
    <w:rsid w:val="00FB39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7F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75E1"/>
    <w:pPr>
      <w:bidi/>
      <w:spacing w:line="276" w:lineRule="auto"/>
      <w:jc w:val="both"/>
    </w:pPr>
    <w:rPr>
      <w:rFonts w:ascii="Sahel FD" w:hAnsi="Sahel FD" w:cs="Sahel FD"/>
      <w:color w:val="000000" w:themeColor="text1"/>
      <w:lang w:bidi="fa-IR"/>
    </w:rPr>
  </w:style>
  <w:style w:type="paragraph" w:styleId="1">
    <w:name w:val="heading 1"/>
    <w:basedOn w:val="a"/>
    <w:next w:val="a"/>
    <w:link w:val="10"/>
    <w:uiPriority w:val="9"/>
    <w:qFormat/>
    <w:rsid w:val="00CB75E1"/>
    <w:pPr>
      <w:keepNext/>
      <w:keepLines/>
      <w:spacing w:before="240" w:after="0"/>
      <w:outlineLvl w:val="0"/>
    </w:pPr>
    <w:rPr>
      <w:rFonts w:eastAsiaTheme="majorEastAsia"/>
      <w:b/>
      <w:bCs/>
      <w:sz w:val="36"/>
      <w:szCs w:val="36"/>
    </w:rPr>
  </w:style>
  <w:style w:type="paragraph" w:styleId="2">
    <w:name w:val="heading 2"/>
    <w:basedOn w:val="1"/>
    <w:next w:val="a"/>
    <w:link w:val="20"/>
    <w:uiPriority w:val="9"/>
    <w:unhideWhenUsed/>
    <w:qFormat/>
    <w:rsid w:val="00CB75E1"/>
    <w:pPr>
      <w:outlineLvl w:val="1"/>
    </w:pPr>
    <w:rPr>
      <w:color w:val="00B050"/>
      <w:sz w:val="32"/>
      <w:szCs w:val="32"/>
    </w:rPr>
  </w:style>
  <w:style w:type="paragraph" w:styleId="3">
    <w:name w:val="heading 3"/>
    <w:basedOn w:val="1"/>
    <w:next w:val="a"/>
    <w:link w:val="30"/>
    <w:uiPriority w:val="9"/>
    <w:unhideWhenUsed/>
    <w:qFormat/>
    <w:rsid w:val="00CB75E1"/>
    <w:pPr>
      <w:outlineLvl w:val="2"/>
    </w:pPr>
    <w:rPr>
      <w:color w:val="ED7D31" w:themeColor="accent2"/>
      <w:sz w:val="28"/>
      <w:szCs w:val="28"/>
    </w:rPr>
  </w:style>
  <w:style w:type="paragraph" w:styleId="4">
    <w:name w:val="heading 4"/>
    <w:basedOn w:val="1"/>
    <w:next w:val="a"/>
    <w:link w:val="40"/>
    <w:uiPriority w:val="9"/>
    <w:unhideWhenUsed/>
    <w:qFormat/>
    <w:rsid w:val="00CB75E1"/>
    <w:pPr>
      <w:outlineLvl w:val="3"/>
    </w:pPr>
    <w:rPr>
      <w:color w:val="FFC000" w:themeColor="accent4"/>
      <w:sz w:val="24"/>
      <w:szCs w:val="24"/>
    </w:rPr>
  </w:style>
  <w:style w:type="paragraph" w:styleId="5">
    <w:name w:val="heading 5"/>
    <w:basedOn w:val="1"/>
    <w:next w:val="a"/>
    <w:link w:val="50"/>
    <w:uiPriority w:val="9"/>
    <w:unhideWhenUsed/>
    <w:qFormat/>
    <w:rsid w:val="00CB75E1"/>
    <w:pPr>
      <w:outlineLvl w:val="4"/>
    </w:pPr>
    <w:rPr>
      <w:color w:val="00B0F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B7AE5"/>
    <w:pPr>
      <w:tabs>
        <w:tab w:val="center" w:pos="4680"/>
        <w:tab w:val="right" w:pos="9360"/>
      </w:tabs>
      <w:spacing w:after="0" w:line="240" w:lineRule="auto"/>
    </w:pPr>
  </w:style>
  <w:style w:type="character" w:customStyle="1" w:styleId="a4">
    <w:name w:val="سرصفحه نویسه"/>
    <w:basedOn w:val="a0"/>
    <w:link w:val="a3"/>
    <w:uiPriority w:val="99"/>
    <w:rsid w:val="00EB7AE5"/>
  </w:style>
  <w:style w:type="paragraph" w:styleId="a5">
    <w:name w:val="footer"/>
    <w:basedOn w:val="a"/>
    <w:link w:val="a6"/>
    <w:uiPriority w:val="99"/>
    <w:unhideWhenUsed/>
    <w:rsid w:val="00EB7AE5"/>
    <w:pPr>
      <w:tabs>
        <w:tab w:val="center" w:pos="4680"/>
        <w:tab w:val="right" w:pos="9360"/>
      </w:tabs>
      <w:spacing w:after="0" w:line="240" w:lineRule="auto"/>
    </w:pPr>
  </w:style>
  <w:style w:type="character" w:customStyle="1" w:styleId="a6">
    <w:name w:val="پانویس نویسه"/>
    <w:basedOn w:val="a0"/>
    <w:link w:val="a5"/>
    <w:uiPriority w:val="99"/>
    <w:rsid w:val="00EB7AE5"/>
  </w:style>
  <w:style w:type="character" w:customStyle="1" w:styleId="10">
    <w:name w:val="عنوان 1 نویسه"/>
    <w:basedOn w:val="a0"/>
    <w:link w:val="1"/>
    <w:uiPriority w:val="9"/>
    <w:rsid w:val="00CB75E1"/>
    <w:rPr>
      <w:rFonts w:ascii="Sahel FD" w:eastAsiaTheme="majorEastAsia" w:hAnsi="Sahel FD" w:cs="Sahel FD"/>
      <w:b/>
      <w:bCs/>
      <w:color w:val="000000" w:themeColor="text1"/>
      <w:sz w:val="36"/>
      <w:szCs w:val="36"/>
      <w:lang w:bidi="fa-IR"/>
    </w:rPr>
  </w:style>
  <w:style w:type="character" w:customStyle="1" w:styleId="20">
    <w:name w:val="عنوان 2 نویسه"/>
    <w:basedOn w:val="a0"/>
    <w:link w:val="2"/>
    <w:uiPriority w:val="9"/>
    <w:rsid w:val="00CB75E1"/>
    <w:rPr>
      <w:rFonts w:ascii="Sahel FD" w:eastAsiaTheme="majorEastAsia" w:hAnsi="Sahel FD" w:cs="Sahel FD"/>
      <w:b/>
      <w:bCs/>
      <w:color w:val="00B050"/>
      <w:sz w:val="32"/>
      <w:szCs w:val="32"/>
      <w:lang w:bidi="fa-IR"/>
    </w:rPr>
  </w:style>
  <w:style w:type="character" w:customStyle="1" w:styleId="30">
    <w:name w:val="عنوان 3 نویسه"/>
    <w:basedOn w:val="a0"/>
    <w:link w:val="3"/>
    <w:uiPriority w:val="9"/>
    <w:rsid w:val="00CB75E1"/>
    <w:rPr>
      <w:rFonts w:ascii="Sahel FD" w:eastAsiaTheme="majorEastAsia" w:hAnsi="Sahel FD" w:cs="Sahel FD"/>
      <w:b/>
      <w:bCs/>
      <w:color w:val="ED7D31" w:themeColor="accent2"/>
      <w:sz w:val="28"/>
      <w:szCs w:val="28"/>
      <w:lang w:bidi="fa-IR"/>
    </w:rPr>
  </w:style>
  <w:style w:type="character" w:customStyle="1" w:styleId="40">
    <w:name w:val="عنوان 4 نویسه"/>
    <w:basedOn w:val="a0"/>
    <w:link w:val="4"/>
    <w:uiPriority w:val="9"/>
    <w:rsid w:val="00CB75E1"/>
    <w:rPr>
      <w:rFonts w:ascii="Sahel FD" w:eastAsiaTheme="majorEastAsia" w:hAnsi="Sahel FD" w:cs="Sahel FD"/>
      <w:b/>
      <w:bCs/>
      <w:color w:val="FFC000" w:themeColor="accent4"/>
      <w:sz w:val="24"/>
      <w:szCs w:val="24"/>
      <w:lang w:bidi="fa-IR"/>
    </w:rPr>
  </w:style>
  <w:style w:type="character" w:customStyle="1" w:styleId="50">
    <w:name w:val="سرصفحه 5 نویسه"/>
    <w:basedOn w:val="a0"/>
    <w:link w:val="5"/>
    <w:uiPriority w:val="9"/>
    <w:rsid w:val="00CB75E1"/>
    <w:rPr>
      <w:rFonts w:ascii="Sahel FD" w:eastAsiaTheme="majorEastAsia" w:hAnsi="Sahel FD" w:cs="Sahel FD"/>
      <w:b/>
      <w:bCs/>
      <w:color w:val="00B0F0"/>
      <w:sz w:val="24"/>
      <w:szCs w:val="24"/>
      <w:lang w:bidi="fa-IR"/>
    </w:rPr>
  </w:style>
  <w:style w:type="paragraph" w:styleId="a7">
    <w:name w:val="Title"/>
    <w:basedOn w:val="a"/>
    <w:next w:val="a"/>
    <w:link w:val="a8"/>
    <w:uiPriority w:val="10"/>
    <w:qFormat/>
    <w:rsid w:val="004C7681"/>
    <w:pPr>
      <w:jc w:val="center"/>
    </w:pPr>
    <w:rPr>
      <w:b/>
      <w:bCs/>
      <w:sz w:val="56"/>
      <w:szCs w:val="56"/>
    </w:rPr>
  </w:style>
  <w:style w:type="character" w:customStyle="1" w:styleId="a8">
    <w:name w:val="عنوان نویسه"/>
    <w:basedOn w:val="a0"/>
    <w:link w:val="a7"/>
    <w:uiPriority w:val="10"/>
    <w:rsid w:val="004C7681"/>
    <w:rPr>
      <w:rFonts w:ascii="Sahel FD" w:hAnsi="Sahel FD" w:cs="Sahel FD"/>
      <w:b/>
      <w:bCs/>
      <w:color w:val="000000" w:themeColor="text1"/>
      <w:sz w:val="56"/>
      <w:szCs w:val="56"/>
      <w:lang w:bidi="fa-IR"/>
    </w:rPr>
  </w:style>
  <w:style w:type="paragraph" w:styleId="a9">
    <w:name w:val="No Spacing"/>
    <w:basedOn w:val="a"/>
    <w:uiPriority w:val="1"/>
    <w:qFormat/>
    <w:rsid w:val="00CB75E1"/>
    <w:pPr>
      <w:spacing w:line="240" w:lineRule="auto"/>
    </w:pPr>
  </w:style>
  <w:style w:type="paragraph" w:styleId="aa">
    <w:name w:val="Subtitle"/>
    <w:basedOn w:val="a9"/>
    <w:next w:val="a"/>
    <w:link w:val="ab"/>
    <w:uiPriority w:val="11"/>
    <w:qFormat/>
    <w:rsid w:val="00EB7AE5"/>
    <w:pPr>
      <w:jc w:val="center"/>
    </w:pPr>
    <w:rPr>
      <w:color w:val="A6A6A6" w:themeColor="background1" w:themeShade="A6"/>
      <w:sz w:val="18"/>
      <w:szCs w:val="18"/>
    </w:rPr>
  </w:style>
  <w:style w:type="character" w:customStyle="1" w:styleId="ab">
    <w:name w:val="زیر نویس نویسه"/>
    <w:basedOn w:val="a0"/>
    <w:link w:val="aa"/>
    <w:uiPriority w:val="11"/>
    <w:rsid w:val="00EB7AE5"/>
    <w:rPr>
      <w:rFonts w:ascii="Sahel" w:hAnsi="Sahel" w:cs="Sahel"/>
      <w:color w:val="A6A6A6" w:themeColor="background1" w:themeShade="A6"/>
      <w:sz w:val="18"/>
      <w:szCs w:val="18"/>
      <w:lang w:bidi="fa-IR"/>
    </w:rPr>
  </w:style>
  <w:style w:type="character" w:styleId="ac">
    <w:name w:val="Subtle Emphasis"/>
    <w:uiPriority w:val="19"/>
    <w:qFormat/>
    <w:rsid w:val="00EB7AE5"/>
  </w:style>
  <w:style w:type="character" w:styleId="ad">
    <w:name w:val="Emphasis"/>
    <w:basedOn w:val="ac"/>
    <w:uiPriority w:val="20"/>
    <w:qFormat/>
    <w:rsid w:val="00EB7AE5"/>
  </w:style>
  <w:style w:type="character" w:styleId="ae">
    <w:name w:val="Strong"/>
    <w:uiPriority w:val="22"/>
    <w:qFormat/>
    <w:rsid w:val="00EB7AE5"/>
    <w:rPr>
      <w:b/>
      <w:bCs/>
    </w:rPr>
  </w:style>
  <w:style w:type="paragraph" w:styleId="af">
    <w:name w:val="Quote"/>
    <w:basedOn w:val="a"/>
    <w:next w:val="a"/>
    <w:link w:val="af0"/>
    <w:uiPriority w:val="29"/>
    <w:qFormat/>
    <w:rsid w:val="00EB7AE5"/>
    <w:pPr>
      <w:spacing w:before="200"/>
      <w:ind w:left="864" w:right="864"/>
      <w:jc w:val="center"/>
    </w:pPr>
    <w:rPr>
      <w:color w:val="262626" w:themeColor="text1" w:themeTint="D9"/>
    </w:rPr>
  </w:style>
  <w:style w:type="character" w:customStyle="1" w:styleId="af0">
    <w:name w:val="نقل قول نویسه"/>
    <w:basedOn w:val="a0"/>
    <w:link w:val="af"/>
    <w:uiPriority w:val="29"/>
    <w:rsid w:val="00EB7AE5"/>
    <w:rPr>
      <w:rFonts w:ascii="Sahel" w:hAnsi="Sahel" w:cs="Sahel"/>
      <w:color w:val="262626" w:themeColor="text1" w:themeTint="D9"/>
      <w:lang w:bidi="fa-IR"/>
    </w:rPr>
  </w:style>
  <w:style w:type="paragraph" w:styleId="af1">
    <w:name w:val="Intense Quote"/>
    <w:basedOn w:val="a"/>
    <w:next w:val="a"/>
    <w:link w:val="af2"/>
    <w:uiPriority w:val="30"/>
    <w:qFormat/>
    <w:rsid w:val="00CB75E1"/>
    <w:pPr>
      <w:pBdr>
        <w:top w:val="single" w:sz="4" w:space="10" w:color="4472C4" w:themeColor="accent1"/>
        <w:bottom w:val="single" w:sz="4" w:space="10" w:color="4472C4" w:themeColor="accent1"/>
      </w:pBdr>
      <w:spacing w:before="360" w:after="360"/>
      <w:ind w:left="864" w:right="864"/>
      <w:jc w:val="center"/>
    </w:pPr>
    <w:rPr>
      <w:b/>
      <w:bCs/>
      <w:color w:val="4472C4" w:themeColor="accent1"/>
    </w:rPr>
  </w:style>
  <w:style w:type="character" w:customStyle="1" w:styleId="af2">
    <w:name w:val="نقل قول قوی نویسه"/>
    <w:basedOn w:val="a0"/>
    <w:link w:val="af1"/>
    <w:uiPriority w:val="30"/>
    <w:rsid w:val="00CB75E1"/>
    <w:rPr>
      <w:rFonts w:ascii="Sahel FD" w:hAnsi="Sahel FD" w:cs="Sahel FD"/>
      <w:b/>
      <w:bCs/>
      <w:color w:val="4472C4" w:themeColor="accent1"/>
      <w:lang w:bidi="fa-IR"/>
    </w:rPr>
  </w:style>
  <w:style w:type="paragraph" w:styleId="af3">
    <w:name w:val="List Paragraph"/>
    <w:basedOn w:val="a"/>
    <w:uiPriority w:val="34"/>
    <w:qFormat/>
    <w:rsid w:val="00035306"/>
    <w:pPr>
      <w:ind w:left="720"/>
      <w:contextualSpacing/>
    </w:pPr>
  </w:style>
  <w:style w:type="character" w:styleId="af4">
    <w:name w:val="Hyperlink"/>
    <w:basedOn w:val="a0"/>
    <w:uiPriority w:val="99"/>
    <w:unhideWhenUsed/>
    <w:rsid w:val="00B11DDA"/>
    <w:rPr>
      <w:rFonts w:ascii="Sahel" w:eastAsia="Sahel" w:hAnsi="Sahel" w:cs="Sahel"/>
      <w:color w:val="12B28C"/>
      <w:sz w:val="22"/>
      <w:szCs w:val="22"/>
      <w:u w:val="single"/>
    </w:rPr>
  </w:style>
  <w:style w:type="character" w:customStyle="1" w:styleId="UnresolvedMention">
    <w:name w:val="Unresolved Mention"/>
    <w:basedOn w:val="a0"/>
    <w:uiPriority w:val="99"/>
    <w:semiHidden/>
    <w:unhideWhenUsed/>
    <w:rsid w:val="00B11DDA"/>
    <w:rPr>
      <w:color w:val="605E5C"/>
      <w:shd w:val="clear" w:color="auto" w:fill="E1DFDD"/>
    </w:rPr>
  </w:style>
  <w:style w:type="paragraph" w:styleId="af5">
    <w:name w:val="footnote text"/>
    <w:basedOn w:val="a"/>
    <w:link w:val="af6"/>
    <w:uiPriority w:val="99"/>
    <w:unhideWhenUsed/>
    <w:rsid w:val="001A74A7"/>
    <w:pPr>
      <w:spacing w:after="0" w:line="240" w:lineRule="auto"/>
    </w:pPr>
    <w:rPr>
      <w:sz w:val="18"/>
      <w:szCs w:val="18"/>
    </w:rPr>
  </w:style>
  <w:style w:type="character" w:customStyle="1" w:styleId="af6">
    <w:name w:val="متن پاورقی نویسه"/>
    <w:basedOn w:val="a0"/>
    <w:link w:val="af5"/>
    <w:uiPriority w:val="99"/>
    <w:rsid w:val="001A74A7"/>
    <w:rPr>
      <w:rFonts w:ascii="Sahel FD" w:hAnsi="Sahel FD" w:cs="Sahel FD"/>
      <w:color w:val="000000" w:themeColor="text1"/>
      <w:sz w:val="18"/>
      <w:szCs w:val="18"/>
      <w:lang w:bidi="fa-IR"/>
    </w:rPr>
  </w:style>
  <w:style w:type="character" w:styleId="af7">
    <w:name w:val="footnote reference"/>
    <w:basedOn w:val="a0"/>
    <w:uiPriority w:val="99"/>
    <w:unhideWhenUsed/>
    <w:rsid w:val="00DC4844"/>
    <w:rPr>
      <w:vertAlign w:val="superscript"/>
    </w:rPr>
  </w:style>
  <w:style w:type="character" w:styleId="af8">
    <w:name w:val="FollowedHyperlink"/>
    <w:basedOn w:val="a0"/>
    <w:uiPriority w:val="99"/>
    <w:semiHidden/>
    <w:unhideWhenUsed/>
    <w:rsid w:val="00DC4844"/>
    <w:rPr>
      <w:color w:val="954F72" w:themeColor="followedHyperlink"/>
      <w:u w:val="single"/>
    </w:rPr>
  </w:style>
  <w:style w:type="paragraph" w:styleId="af9">
    <w:name w:val="caption"/>
    <w:basedOn w:val="a"/>
    <w:next w:val="a"/>
    <w:uiPriority w:val="35"/>
    <w:unhideWhenUsed/>
    <w:qFormat/>
    <w:rsid w:val="0013091F"/>
    <w:pPr>
      <w:spacing w:after="200" w:line="240" w:lineRule="auto"/>
      <w:jc w:val="center"/>
    </w:pPr>
    <w:rPr>
      <w:color w:val="808080" w:themeColor="background1" w:themeShade="8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75E1"/>
    <w:pPr>
      <w:bidi/>
      <w:spacing w:line="276" w:lineRule="auto"/>
      <w:jc w:val="both"/>
    </w:pPr>
    <w:rPr>
      <w:rFonts w:ascii="Sahel FD" w:hAnsi="Sahel FD" w:cs="Sahel FD"/>
      <w:color w:val="000000" w:themeColor="text1"/>
      <w:lang w:bidi="fa-IR"/>
    </w:rPr>
  </w:style>
  <w:style w:type="paragraph" w:styleId="1">
    <w:name w:val="heading 1"/>
    <w:basedOn w:val="a"/>
    <w:next w:val="a"/>
    <w:link w:val="10"/>
    <w:uiPriority w:val="9"/>
    <w:qFormat/>
    <w:rsid w:val="00CB75E1"/>
    <w:pPr>
      <w:keepNext/>
      <w:keepLines/>
      <w:spacing w:before="240" w:after="0"/>
      <w:outlineLvl w:val="0"/>
    </w:pPr>
    <w:rPr>
      <w:rFonts w:eastAsiaTheme="majorEastAsia"/>
      <w:b/>
      <w:bCs/>
      <w:sz w:val="36"/>
      <w:szCs w:val="36"/>
    </w:rPr>
  </w:style>
  <w:style w:type="paragraph" w:styleId="2">
    <w:name w:val="heading 2"/>
    <w:basedOn w:val="1"/>
    <w:next w:val="a"/>
    <w:link w:val="20"/>
    <w:uiPriority w:val="9"/>
    <w:unhideWhenUsed/>
    <w:qFormat/>
    <w:rsid w:val="00CB75E1"/>
    <w:pPr>
      <w:outlineLvl w:val="1"/>
    </w:pPr>
    <w:rPr>
      <w:color w:val="00B050"/>
      <w:sz w:val="32"/>
      <w:szCs w:val="32"/>
    </w:rPr>
  </w:style>
  <w:style w:type="paragraph" w:styleId="3">
    <w:name w:val="heading 3"/>
    <w:basedOn w:val="1"/>
    <w:next w:val="a"/>
    <w:link w:val="30"/>
    <w:uiPriority w:val="9"/>
    <w:unhideWhenUsed/>
    <w:qFormat/>
    <w:rsid w:val="00CB75E1"/>
    <w:pPr>
      <w:outlineLvl w:val="2"/>
    </w:pPr>
    <w:rPr>
      <w:color w:val="ED7D31" w:themeColor="accent2"/>
      <w:sz w:val="28"/>
      <w:szCs w:val="28"/>
    </w:rPr>
  </w:style>
  <w:style w:type="paragraph" w:styleId="4">
    <w:name w:val="heading 4"/>
    <w:basedOn w:val="1"/>
    <w:next w:val="a"/>
    <w:link w:val="40"/>
    <w:uiPriority w:val="9"/>
    <w:unhideWhenUsed/>
    <w:qFormat/>
    <w:rsid w:val="00CB75E1"/>
    <w:pPr>
      <w:outlineLvl w:val="3"/>
    </w:pPr>
    <w:rPr>
      <w:color w:val="FFC000" w:themeColor="accent4"/>
      <w:sz w:val="24"/>
      <w:szCs w:val="24"/>
    </w:rPr>
  </w:style>
  <w:style w:type="paragraph" w:styleId="5">
    <w:name w:val="heading 5"/>
    <w:basedOn w:val="1"/>
    <w:next w:val="a"/>
    <w:link w:val="50"/>
    <w:uiPriority w:val="9"/>
    <w:unhideWhenUsed/>
    <w:qFormat/>
    <w:rsid w:val="00CB75E1"/>
    <w:pPr>
      <w:outlineLvl w:val="4"/>
    </w:pPr>
    <w:rPr>
      <w:color w:val="00B0F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B7AE5"/>
    <w:pPr>
      <w:tabs>
        <w:tab w:val="center" w:pos="4680"/>
        <w:tab w:val="right" w:pos="9360"/>
      </w:tabs>
      <w:spacing w:after="0" w:line="240" w:lineRule="auto"/>
    </w:pPr>
  </w:style>
  <w:style w:type="character" w:customStyle="1" w:styleId="a4">
    <w:name w:val="سرصفحه نویسه"/>
    <w:basedOn w:val="a0"/>
    <w:link w:val="a3"/>
    <w:uiPriority w:val="99"/>
    <w:rsid w:val="00EB7AE5"/>
  </w:style>
  <w:style w:type="paragraph" w:styleId="a5">
    <w:name w:val="footer"/>
    <w:basedOn w:val="a"/>
    <w:link w:val="a6"/>
    <w:uiPriority w:val="99"/>
    <w:unhideWhenUsed/>
    <w:rsid w:val="00EB7AE5"/>
    <w:pPr>
      <w:tabs>
        <w:tab w:val="center" w:pos="4680"/>
        <w:tab w:val="right" w:pos="9360"/>
      </w:tabs>
      <w:spacing w:after="0" w:line="240" w:lineRule="auto"/>
    </w:pPr>
  </w:style>
  <w:style w:type="character" w:customStyle="1" w:styleId="a6">
    <w:name w:val="پانویس نویسه"/>
    <w:basedOn w:val="a0"/>
    <w:link w:val="a5"/>
    <w:uiPriority w:val="99"/>
    <w:rsid w:val="00EB7AE5"/>
  </w:style>
  <w:style w:type="character" w:customStyle="1" w:styleId="10">
    <w:name w:val="عنوان 1 نویسه"/>
    <w:basedOn w:val="a0"/>
    <w:link w:val="1"/>
    <w:uiPriority w:val="9"/>
    <w:rsid w:val="00CB75E1"/>
    <w:rPr>
      <w:rFonts w:ascii="Sahel FD" w:eastAsiaTheme="majorEastAsia" w:hAnsi="Sahel FD" w:cs="Sahel FD"/>
      <w:b/>
      <w:bCs/>
      <w:color w:val="000000" w:themeColor="text1"/>
      <w:sz w:val="36"/>
      <w:szCs w:val="36"/>
      <w:lang w:bidi="fa-IR"/>
    </w:rPr>
  </w:style>
  <w:style w:type="character" w:customStyle="1" w:styleId="20">
    <w:name w:val="عنوان 2 نویسه"/>
    <w:basedOn w:val="a0"/>
    <w:link w:val="2"/>
    <w:uiPriority w:val="9"/>
    <w:rsid w:val="00CB75E1"/>
    <w:rPr>
      <w:rFonts w:ascii="Sahel FD" w:eastAsiaTheme="majorEastAsia" w:hAnsi="Sahel FD" w:cs="Sahel FD"/>
      <w:b/>
      <w:bCs/>
      <w:color w:val="00B050"/>
      <w:sz w:val="32"/>
      <w:szCs w:val="32"/>
      <w:lang w:bidi="fa-IR"/>
    </w:rPr>
  </w:style>
  <w:style w:type="character" w:customStyle="1" w:styleId="30">
    <w:name w:val="عنوان 3 نویسه"/>
    <w:basedOn w:val="a0"/>
    <w:link w:val="3"/>
    <w:uiPriority w:val="9"/>
    <w:rsid w:val="00CB75E1"/>
    <w:rPr>
      <w:rFonts w:ascii="Sahel FD" w:eastAsiaTheme="majorEastAsia" w:hAnsi="Sahel FD" w:cs="Sahel FD"/>
      <w:b/>
      <w:bCs/>
      <w:color w:val="ED7D31" w:themeColor="accent2"/>
      <w:sz w:val="28"/>
      <w:szCs w:val="28"/>
      <w:lang w:bidi="fa-IR"/>
    </w:rPr>
  </w:style>
  <w:style w:type="character" w:customStyle="1" w:styleId="40">
    <w:name w:val="عنوان 4 نویسه"/>
    <w:basedOn w:val="a0"/>
    <w:link w:val="4"/>
    <w:uiPriority w:val="9"/>
    <w:rsid w:val="00CB75E1"/>
    <w:rPr>
      <w:rFonts w:ascii="Sahel FD" w:eastAsiaTheme="majorEastAsia" w:hAnsi="Sahel FD" w:cs="Sahel FD"/>
      <w:b/>
      <w:bCs/>
      <w:color w:val="FFC000" w:themeColor="accent4"/>
      <w:sz w:val="24"/>
      <w:szCs w:val="24"/>
      <w:lang w:bidi="fa-IR"/>
    </w:rPr>
  </w:style>
  <w:style w:type="character" w:customStyle="1" w:styleId="50">
    <w:name w:val="سرصفحه 5 نویسه"/>
    <w:basedOn w:val="a0"/>
    <w:link w:val="5"/>
    <w:uiPriority w:val="9"/>
    <w:rsid w:val="00CB75E1"/>
    <w:rPr>
      <w:rFonts w:ascii="Sahel FD" w:eastAsiaTheme="majorEastAsia" w:hAnsi="Sahel FD" w:cs="Sahel FD"/>
      <w:b/>
      <w:bCs/>
      <w:color w:val="00B0F0"/>
      <w:sz w:val="24"/>
      <w:szCs w:val="24"/>
      <w:lang w:bidi="fa-IR"/>
    </w:rPr>
  </w:style>
  <w:style w:type="paragraph" w:styleId="a7">
    <w:name w:val="Title"/>
    <w:basedOn w:val="a"/>
    <w:next w:val="a"/>
    <w:link w:val="a8"/>
    <w:uiPriority w:val="10"/>
    <w:qFormat/>
    <w:rsid w:val="004C7681"/>
    <w:pPr>
      <w:jc w:val="center"/>
    </w:pPr>
    <w:rPr>
      <w:b/>
      <w:bCs/>
      <w:sz w:val="56"/>
      <w:szCs w:val="56"/>
    </w:rPr>
  </w:style>
  <w:style w:type="character" w:customStyle="1" w:styleId="a8">
    <w:name w:val="عنوان نویسه"/>
    <w:basedOn w:val="a0"/>
    <w:link w:val="a7"/>
    <w:uiPriority w:val="10"/>
    <w:rsid w:val="004C7681"/>
    <w:rPr>
      <w:rFonts w:ascii="Sahel FD" w:hAnsi="Sahel FD" w:cs="Sahel FD"/>
      <w:b/>
      <w:bCs/>
      <w:color w:val="000000" w:themeColor="text1"/>
      <w:sz w:val="56"/>
      <w:szCs w:val="56"/>
      <w:lang w:bidi="fa-IR"/>
    </w:rPr>
  </w:style>
  <w:style w:type="paragraph" w:styleId="a9">
    <w:name w:val="No Spacing"/>
    <w:basedOn w:val="a"/>
    <w:uiPriority w:val="1"/>
    <w:qFormat/>
    <w:rsid w:val="00CB75E1"/>
    <w:pPr>
      <w:spacing w:line="240" w:lineRule="auto"/>
    </w:pPr>
  </w:style>
  <w:style w:type="paragraph" w:styleId="aa">
    <w:name w:val="Subtitle"/>
    <w:basedOn w:val="a9"/>
    <w:next w:val="a"/>
    <w:link w:val="ab"/>
    <w:uiPriority w:val="11"/>
    <w:qFormat/>
    <w:rsid w:val="00EB7AE5"/>
    <w:pPr>
      <w:jc w:val="center"/>
    </w:pPr>
    <w:rPr>
      <w:color w:val="A6A6A6" w:themeColor="background1" w:themeShade="A6"/>
      <w:sz w:val="18"/>
      <w:szCs w:val="18"/>
    </w:rPr>
  </w:style>
  <w:style w:type="character" w:customStyle="1" w:styleId="ab">
    <w:name w:val="زیر نویس نویسه"/>
    <w:basedOn w:val="a0"/>
    <w:link w:val="aa"/>
    <w:uiPriority w:val="11"/>
    <w:rsid w:val="00EB7AE5"/>
    <w:rPr>
      <w:rFonts w:ascii="Sahel" w:hAnsi="Sahel" w:cs="Sahel"/>
      <w:color w:val="A6A6A6" w:themeColor="background1" w:themeShade="A6"/>
      <w:sz w:val="18"/>
      <w:szCs w:val="18"/>
      <w:lang w:bidi="fa-IR"/>
    </w:rPr>
  </w:style>
  <w:style w:type="character" w:styleId="ac">
    <w:name w:val="Subtle Emphasis"/>
    <w:uiPriority w:val="19"/>
    <w:qFormat/>
    <w:rsid w:val="00EB7AE5"/>
  </w:style>
  <w:style w:type="character" w:styleId="ad">
    <w:name w:val="Emphasis"/>
    <w:basedOn w:val="ac"/>
    <w:uiPriority w:val="20"/>
    <w:qFormat/>
    <w:rsid w:val="00EB7AE5"/>
  </w:style>
  <w:style w:type="character" w:styleId="ae">
    <w:name w:val="Strong"/>
    <w:uiPriority w:val="22"/>
    <w:qFormat/>
    <w:rsid w:val="00EB7AE5"/>
    <w:rPr>
      <w:b/>
      <w:bCs/>
    </w:rPr>
  </w:style>
  <w:style w:type="paragraph" w:styleId="af">
    <w:name w:val="Quote"/>
    <w:basedOn w:val="a"/>
    <w:next w:val="a"/>
    <w:link w:val="af0"/>
    <w:uiPriority w:val="29"/>
    <w:qFormat/>
    <w:rsid w:val="00EB7AE5"/>
    <w:pPr>
      <w:spacing w:before="200"/>
      <w:ind w:left="864" w:right="864"/>
      <w:jc w:val="center"/>
    </w:pPr>
    <w:rPr>
      <w:color w:val="262626" w:themeColor="text1" w:themeTint="D9"/>
    </w:rPr>
  </w:style>
  <w:style w:type="character" w:customStyle="1" w:styleId="af0">
    <w:name w:val="نقل قول نویسه"/>
    <w:basedOn w:val="a0"/>
    <w:link w:val="af"/>
    <w:uiPriority w:val="29"/>
    <w:rsid w:val="00EB7AE5"/>
    <w:rPr>
      <w:rFonts w:ascii="Sahel" w:hAnsi="Sahel" w:cs="Sahel"/>
      <w:color w:val="262626" w:themeColor="text1" w:themeTint="D9"/>
      <w:lang w:bidi="fa-IR"/>
    </w:rPr>
  </w:style>
  <w:style w:type="paragraph" w:styleId="af1">
    <w:name w:val="Intense Quote"/>
    <w:basedOn w:val="a"/>
    <w:next w:val="a"/>
    <w:link w:val="af2"/>
    <w:uiPriority w:val="30"/>
    <w:qFormat/>
    <w:rsid w:val="00CB75E1"/>
    <w:pPr>
      <w:pBdr>
        <w:top w:val="single" w:sz="4" w:space="10" w:color="4472C4" w:themeColor="accent1"/>
        <w:bottom w:val="single" w:sz="4" w:space="10" w:color="4472C4" w:themeColor="accent1"/>
      </w:pBdr>
      <w:spacing w:before="360" w:after="360"/>
      <w:ind w:left="864" w:right="864"/>
      <w:jc w:val="center"/>
    </w:pPr>
    <w:rPr>
      <w:b/>
      <w:bCs/>
      <w:color w:val="4472C4" w:themeColor="accent1"/>
    </w:rPr>
  </w:style>
  <w:style w:type="character" w:customStyle="1" w:styleId="af2">
    <w:name w:val="نقل قول قوی نویسه"/>
    <w:basedOn w:val="a0"/>
    <w:link w:val="af1"/>
    <w:uiPriority w:val="30"/>
    <w:rsid w:val="00CB75E1"/>
    <w:rPr>
      <w:rFonts w:ascii="Sahel FD" w:hAnsi="Sahel FD" w:cs="Sahel FD"/>
      <w:b/>
      <w:bCs/>
      <w:color w:val="4472C4" w:themeColor="accent1"/>
      <w:lang w:bidi="fa-IR"/>
    </w:rPr>
  </w:style>
  <w:style w:type="paragraph" w:styleId="af3">
    <w:name w:val="List Paragraph"/>
    <w:basedOn w:val="a"/>
    <w:uiPriority w:val="34"/>
    <w:qFormat/>
    <w:rsid w:val="00035306"/>
    <w:pPr>
      <w:ind w:left="720"/>
      <w:contextualSpacing/>
    </w:pPr>
  </w:style>
  <w:style w:type="character" w:styleId="af4">
    <w:name w:val="Hyperlink"/>
    <w:basedOn w:val="a0"/>
    <w:uiPriority w:val="99"/>
    <w:unhideWhenUsed/>
    <w:rsid w:val="00B11DDA"/>
    <w:rPr>
      <w:rFonts w:ascii="Sahel" w:eastAsia="Sahel" w:hAnsi="Sahel" w:cs="Sahel"/>
      <w:color w:val="12B28C"/>
      <w:sz w:val="22"/>
      <w:szCs w:val="22"/>
      <w:u w:val="single"/>
    </w:rPr>
  </w:style>
  <w:style w:type="character" w:customStyle="1" w:styleId="UnresolvedMention">
    <w:name w:val="Unresolved Mention"/>
    <w:basedOn w:val="a0"/>
    <w:uiPriority w:val="99"/>
    <w:semiHidden/>
    <w:unhideWhenUsed/>
    <w:rsid w:val="00B11DDA"/>
    <w:rPr>
      <w:color w:val="605E5C"/>
      <w:shd w:val="clear" w:color="auto" w:fill="E1DFDD"/>
    </w:rPr>
  </w:style>
  <w:style w:type="paragraph" w:styleId="af5">
    <w:name w:val="footnote text"/>
    <w:basedOn w:val="a"/>
    <w:link w:val="af6"/>
    <w:uiPriority w:val="99"/>
    <w:unhideWhenUsed/>
    <w:rsid w:val="001A74A7"/>
    <w:pPr>
      <w:spacing w:after="0" w:line="240" w:lineRule="auto"/>
    </w:pPr>
    <w:rPr>
      <w:sz w:val="18"/>
      <w:szCs w:val="18"/>
    </w:rPr>
  </w:style>
  <w:style w:type="character" w:customStyle="1" w:styleId="af6">
    <w:name w:val="متن پاورقی نویسه"/>
    <w:basedOn w:val="a0"/>
    <w:link w:val="af5"/>
    <w:uiPriority w:val="99"/>
    <w:rsid w:val="001A74A7"/>
    <w:rPr>
      <w:rFonts w:ascii="Sahel FD" w:hAnsi="Sahel FD" w:cs="Sahel FD"/>
      <w:color w:val="000000" w:themeColor="text1"/>
      <w:sz w:val="18"/>
      <w:szCs w:val="18"/>
      <w:lang w:bidi="fa-IR"/>
    </w:rPr>
  </w:style>
  <w:style w:type="character" w:styleId="af7">
    <w:name w:val="footnote reference"/>
    <w:basedOn w:val="a0"/>
    <w:uiPriority w:val="99"/>
    <w:unhideWhenUsed/>
    <w:rsid w:val="00DC4844"/>
    <w:rPr>
      <w:vertAlign w:val="superscript"/>
    </w:rPr>
  </w:style>
  <w:style w:type="character" w:styleId="af8">
    <w:name w:val="FollowedHyperlink"/>
    <w:basedOn w:val="a0"/>
    <w:uiPriority w:val="99"/>
    <w:semiHidden/>
    <w:unhideWhenUsed/>
    <w:rsid w:val="00DC4844"/>
    <w:rPr>
      <w:color w:val="954F72" w:themeColor="followedHyperlink"/>
      <w:u w:val="single"/>
    </w:rPr>
  </w:style>
  <w:style w:type="paragraph" w:styleId="af9">
    <w:name w:val="caption"/>
    <w:basedOn w:val="a"/>
    <w:next w:val="a"/>
    <w:uiPriority w:val="35"/>
    <w:unhideWhenUsed/>
    <w:qFormat/>
    <w:rsid w:val="0013091F"/>
    <w:pPr>
      <w:spacing w:after="200" w:line="240" w:lineRule="auto"/>
      <w:jc w:val="center"/>
    </w:pPr>
    <w:rPr>
      <w:color w:val="808080" w:themeColor="background1" w:themeShade="8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F2D2E5-BF2B-42B4-805D-339A950376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TotalTime>
  <Pages>5</Pages>
  <Words>1408</Words>
  <Characters>8032</Characters>
  <Application>Microsoft Office Word</Application>
  <DocSecurity>0</DocSecurity>
  <Lines>66</Lines>
  <Paragraphs>18</Paragraphs>
  <ScaleCrop>false</ScaleCrop>
  <HeadingPairs>
    <vt:vector size="2" baseType="variant">
      <vt:variant>
        <vt:lpstr>عنوان</vt:lpstr>
      </vt:variant>
      <vt:variant>
        <vt:i4>1</vt:i4>
      </vt:variant>
    </vt:vector>
  </HeadingPairs>
  <TitlesOfParts>
    <vt:vector size="1" baseType="lpstr">
      <vt:lpstr/>
    </vt:vector>
  </TitlesOfParts>
  <Company/>
  <LinksUpToDate>false</LinksUpToDate>
  <CharactersWithSpaces>9422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eledah !</dc:creator>
  <cp:keywords/>
  <dc:description/>
  <cp:lastModifiedBy>shoopaei</cp:lastModifiedBy>
  <cp:revision>67</cp:revision>
  <dcterms:created xsi:type="dcterms:W3CDTF">2021-07-05T07:07:00Z</dcterms:created>
  <dcterms:modified xsi:type="dcterms:W3CDTF">2026-10-19T18:25:00Z</dcterms:modified>
</cp:coreProperties>
</file>