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6722C" w14:textId="77777777" w:rsidR="00D02938" w:rsidRPr="00D02938" w:rsidRDefault="00D02938" w:rsidP="00D02938">
      <w:pPr>
        <w:shd w:val="clear" w:color="auto" w:fill="FFFFFF"/>
        <w:spacing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أعوذ بالله من الشیطان الرجیم. بسم الله الرحمن الرحیم. الحمد لله رب العالمین و صلی الله علی محمد و آله الطاهرین و لعنة الله علی أعدائهم أجمعین</w:t>
      </w:r>
      <w:r w:rsidRPr="00D02938">
        <w:rPr>
          <w:rFonts w:eastAsia="Times New Roman"/>
          <w:color w:val="2E3440"/>
          <w:sz w:val="35"/>
          <w:szCs w:val="35"/>
          <w:lang w:bidi="ar-SA"/>
        </w:rPr>
        <w:t>.</w:t>
      </w:r>
    </w:p>
    <w:p w14:paraId="5236A4C0" w14:textId="77777777" w:rsidR="00D02938" w:rsidRPr="00D02938" w:rsidRDefault="00D02938" w:rsidP="00D02938">
      <w:pPr>
        <w:shd w:val="clear" w:color="auto" w:fill="FFFFFF"/>
        <w:spacing w:after="100" w:afterAutospacing="1" w:line="240" w:lineRule="auto"/>
        <w:jc w:val="left"/>
        <w:rPr>
          <w:rFonts w:eastAsia="Times New Roman"/>
          <w:color w:val="7D8697"/>
          <w:sz w:val="35"/>
          <w:szCs w:val="35"/>
          <w:lang w:bidi="ar-SA"/>
        </w:rPr>
      </w:pPr>
      <w:r w:rsidRPr="00D02938">
        <w:rPr>
          <w:rFonts w:eastAsia="Times New Roman"/>
          <w:i/>
          <w:iCs/>
          <w:color w:val="7D8697"/>
          <w:sz w:val="35"/>
          <w:szCs w:val="35"/>
          <w:rtl/>
          <w:lang w:bidi="ar-SA"/>
        </w:rPr>
        <w:t>وسائل الشيعة</w:t>
      </w:r>
      <w:r w:rsidRPr="00D02938">
        <w:rPr>
          <w:rFonts w:eastAsia="Times New Roman"/>
          <w:color w:val="7D8697"/>
          <w:sz w:val="35"/>
          <w:szCs w:val="35"/>
          <w:rtl/>
          <w:lang w:bidi="ar-SA"/>
        </w:rPr>
        <w:t>؛ ج</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rPr>
        <w:t>۴</w:t>
      </w:r>
      <w:r w:rsidRPr="00D02938">
        <w:rPr>
          <w:rFonts w:eastAsia="Times New Roman"/>
          <w:color w:val="7D8697"/>
          <w:sz w:val="35"/>
          <w:szCs w:val="35"/>
          <w:rtl/>
          <w:lang w:bidi="ar-SA"/>
        </w:rPr>
        <w:t>؛ ص</w:t>
      </w:r>
      <w:r w:rsidRPr="00D02938">
        <w:rPr>
          <w:rFonts w:eastAsia="Times New Roman"/>
          <w:color w:val="7D8697"/>
          <w:sz w:val="35"/>
          <w:szCs w:val="35"/>
          <w:rtl/>
        </w:rPr>
        <w:t>۳۴۵</w:t>
      </w:r>
      <w:r w:rsidRPr="00D02938">
        <w:rPr>
          <w:rFonts w:eastAsia="Times New Roman"/>
          <w:color w:val="7D8697"/>
          <w:sz w:val="35"/>
          <w:szCs w:val="35"/>
          <w:lang w:bidi="ar-SA"/>
        </w:rPr>
        <w:br/>
      </w:r>
      <w:r w:rsidRPr="00D02938">
        <w:rPr>
          <w:rFonts w:eastAsia="Times New Roman"/>
          <w:color w:val="7D8697"/>
          <w:sz w:val="35"/>
          <w:szCs w:val="35"/>
          <w:rtl/>
        </w:rPr>
        <w:t>۵۳۴۴</w:t>
      </w:r>
      <w:r w:rsidRPr="00D02938">
        <w:rPr>
          <w:rFonts w:eastAsia="Times New Roman"/>
          <w:color w:val="7D8697"/>
          <w:sz w:val="35"/>
          <w:szCs w:val="35"/>
          <w:lang w:bidi="ar-SA"/>
        </w:rPr>
        <w:t xml:space="preserve">- </w:t>
      </w:r>
      <w:r w:rsidRPr="00D02938">
        <w:rPr>
          <w:rFonts w:eastAsia="Times New Roman"/>
          <w:color w:val="7D8697"/>
          <w:sz w:val="35"/>
          <w:szCs w:val="35"/>
          <w:rtl/>
        </w:rPr>
        <w:t>۱</w:t>
      </w:r>
      <w:r w:rsidRPr="00D02938">
        <w:rPr>
          <w:rFonts w:eastAsia="Times New Roman"/>
          <w:color w:val="7D8697"/>
          <w:sz w:val="35"/>
          <w:szCs w:val="35"/>
          <w:lang w:bidi="ar-SA"/>
        </w:rPr>
        <w:t xml:space="preserve">- </w:t>
      </w:r>
      <w:r w:rsidRPr="00D02938">
        <w:rPr>
          <w:rFonts w:eastAsia="Times New Roman"/>
          <w:color w:val="7D8697"/>
          <w:sz w:val="35"/>
          <w:szCs w:val="35"/>
          <w:rtl/>
          <w:lang w:bidi="ar-SA"/>
        </w:rPr>
        <w:t>محمد بن يعقوب عن علي بن إبراهيم عن أبيه عن ابن أبي عمير عن ابن بكير قال سأل زرارة أبا عبد الله ع</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عن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الصلاة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الثعالب</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الفنك</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السنجاب</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غيره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الوبر</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فأخرج</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كتابا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زعم</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إملاء</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رسول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ص</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الصلاة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وبر</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كل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شي</w:t>
      </w:r>
      <w:r w:rsidRPr="00D02938">
        <w:rPr>
          <w:rFonts w:ascii="Arial" w:eastAsia="Times New Roman" w:hAnsi="Arial" w:cs="Arial" w:hint="cs"/>
          <w:color w:val="7D8697"/>
          <w:sz w:val="35"/>
          <w:szCs w:val="35"/>
          <w:rtl/>
          <w:lang w:bidi="ar-SA"/>
        </w:rPr>
        <w:t>‏</w:t>
      </w:r>
      <w:r w:rsidRPr="00D02938">
        <w:rPr>
          <w:rFonts w:eastAsia="Times New Roman" w:hint="cs"/>
          <w:color w:val="7D8697"/>
          <w:sz w:val="35"/>
          <w:szCs w:val="35"/>
          <w:rtl/>
          <w:lang w:bidi="ar-SA"/>
        </w:rPr>
        <w:t>ء</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حرام</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أكله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فالصلاة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في</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وبره</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شعره</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جلده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بوله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روثه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كل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شي</w:t>
      </w:r>
      <w:r w:rsidRPr="00D02938">
        <w:rPr>
          <w:rFonts w:ascii="Arial" w:eastAsia="Times New Roman" w:hAnsi="Arial" w:cs="Arial" w:hint="cs"/>
          <w:color w:val="7D8697"/>
          <w:sz w:val="35"/>
          <w:szCs w:val="35"/>
          <w:rtl/>
          <w:lang w:bidi="ar-SA"/>
        </w:rPr>
        <w:t>‏</w:t>
      </w:r>
      <w:r w:rsidRPr="00D02938">
        <w:rPr>
          <w:rFonts w:eastAsia="Times New Roman" w:hint="cs"/>
          <w:color w:val="7D8697"/>
          <w:sz w:val="35"/>
          <w:szCs w:val="35"/>
          <w:rtl/>
          <w:lang w:bidi="ar-SA"/>
        </w:rPr>
        <w:t>ء</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فاسد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لا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تقبل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تلك</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الصلاة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حتى</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يصلي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غيره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مما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أحل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أكله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ثم</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قال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زرارة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هذا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عن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رسول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ص</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فاحفظ</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ذلك</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زرارة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فإن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كان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مما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يؤكل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لحمه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فالصلاة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وبره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بوله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شعره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روثه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ألبانه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كل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شي</w:t>
      </w:r>
      <w:r w:rsidRPr="00D02938">
        <w:rPr>
          <w:rFonts w:ascii="Arial" w:eastAsia="Times New Roman" w:hAnsi="Arial" w:cs="Arial" w:hint="cs"/>
          <w:color w:val="7D8697"/>
          <w:sz w:val="35"/>
          <w:szCs w:val="35"/>
          <w:rtl/>
          <w:lang w:bidi="ar-SA"/>
        </w:rPr>
        <w:t>‏</w:t>
      </w:r>
      <w:r w:rsidRPr="00D02938">
        <w:rPr>
          <w:rFonts w:eastAsia="Times New Roman" w:hint="cs"/>
          <w:color w:val="7D8697"/>
          <w:sz w:val="35"/>
          <w:szCs w:val="35"/>
          <w:rtl/>
          <w:lang w:bidi="ar-SA"/>
        </w:rPr>
        <w:t>ء</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جائز</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إذا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علمت</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ذكي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ذكا</w:t>
      </w:r>
      <w:r w:rsidRPr="00D02938">
        <w:rPr>
          <w:rFonts w:eastAsia="Times New Roman"/>
          <w:color w:val="7D8697"/>
          <w:sz w:val="35"/>
          <w:szCs w:val="35"/>
          <w:rtl/>
          <w:lang w:bidi="ar-SA"/>
        </w:rPr>
        <w:t>ه الذبح و إن كان غير ذلك مما قد نهيت عن أكله و حرم عليك أكله فالصلاة في كل شي</w:t>
      </w:r>
      <w:r w:rsidRPr="00D02938">
        <w:rPr>
          <w:rFonts w:ascii="Arial" w:eastAsia="Times New Roman" w:hAnsi="Arial" w:cs="Arial" w:hint="cs"/>
          <w:color w:val="7D8697"/>
          <w:sz w:val="35"/>
          <w:szCs w:val="35"/>
          <w:rtl/>
          <w:lang w:bidi="ar-SA"/>
        </w:rPr>
        <w:t>‏</w:t>
      </w:r>
      <w:r w:rsidRPr="00D02938">
        <w:rPr>
          <w:rFonts w:eastAsia="Times New Roman" w:hint="cs"/>
          <w:color w:val="7D8697"/>
          <w:sz w:val="35"/>
          <w:szCs w:val="35"/>
          <w:rtl/>
          <w:lang w:bidi="ar-SA"/>
        </w:rPr>
        <w:t>ء</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فاسد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ذكاه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الذبح</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لم</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يذكه</w:t>
      </w:r>
      <w:r w:rsidRPr="00D02938">
        <w:rPr>
          <w:rFonts w:eastAsia="Times New Roman"/>
          <w:color w:val="7D8697"/>
          <w:sz w:val="35"/>
          <w:szCs w:val="35"/>
          <w:lang w:bidi="ar-SA"/>
        </w:rPr>
        <w:t>.</w:t>
      </w:r>
    </w:p>
    <w:p w14:paraId="155B3E62"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7D8697"/>
          <w:sz w:val="35"/>
          <w:szCs w:val="35"/>
          <w:lang w:bidi="ar-SA"/>
        </w:rPr>
      </w:pPr>
      <w:r w:rsidRPr="00D02938">
        <w:rPr>
          <w:rFonts w:eastAsia="Times New Roman"/>
          <w:i/>
          <w:iCs/>
          <w:color w:val="7D8697"/>
          <w:sz w:val="35"/>
          <w:szCs w:val="35"/>
          <w:rtl/>
          <w:lang w:bidi="ar-SA"/>
        </w:rPr>
        <w:t>وسائل الشيعة</w:t>
      </w:r>
      <w:r w:rsidRPr="00D02938">
        <w:rPr>
          <w:rFonts w:eastAsia="Times New Roman"/>
          <w:color w:val="7D8697"/>
          <w:sz w:val="35"/>
          <w:szCs w:val="35"/>
          <w:rtl/>
          <w:lang w:bidi="ar-SA"/>
        </w:rPr>
        <w:t>؛ ج</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rPr>
        <w:t>۶</w:t>
      </w:r>
      <w:r w:rsidRPr="00D02938">
        <w:rPr>
          <w:rFonts w:eastAsia="Times New Roman"/>
          <w:color w:val="7D8697"/>
          <w:sz w:val="35"/>
          <w:szCs w:val="35"/>
          <w:rtl/>
          <w:lang w:bidi="ar-SA"/>
        </w:rPr>
        <w:t>؛ ص</w:t>
      </w:r>
      <w:r w:rsidRPr="00D02938">
        <w:rPr>
          <w:rFonts w:eastAsia="Times New Roman"/>
          <w:color w:val="7D8697"/>
          <w:sz w:val="35"/>
          <w:szCs w:val="35"/>
          <w:rtl/>
        </w:rPr>
        <w:t>۹۱</w:t>
      </w:r>
      <w:r w:rsidRPr="00D02938">
        <w:rPr>
          <w:rFonts w:eastAsia="Times New Roman"/>
          <w:color w:val="7D8697"/>
          <w:sz w:val="35"/>
          <w:szCs w:val="35"/>
          <w:lang w:bidi="ar-SA"/>
        </w:rPr>
        <w:br/>
      </w:r>
      <w:r w:rsidRPr="00D02938">
        <w:rPr>
          <w:rFonts w:eastAsia="Times New Roman"/>
          <w:color w:val="7D8697"/>
          <w:sz w:val="35"/>
          <w:szCs w:val="35"/>
          <w:rtl/>
        </w:rPr>
        <w:t>۷۴۲۷</w:t>
      </w:r>
      <w:r w:rsidRPr="00D02938">
        <w:rPr>
          <w:rFonts w:eastAsia="Times New Roman"/>
          <w:color w:val="7D8697"/>
          <w:sz w:val="35"/>
          <w:szCs w:val="35"/>
          <w:lang w:bidi="ar-SA"/>
        </w:rPr>
        <w:t xml:space="preserve">- </w:t>
      </w:r>
      <w:r w:rsidRPr="00D02938">
        <w:rPr>
          <w:rFonts w:eastAsia="Times New Roman"/>
          <w:color w:val="7D8697"/>
          <w:sz w:val="35"/>
          <w:szCs w:val="35"/>
          <w:rtl/>
        </w:rPr>
        <w:t>۵</w:t>
      </w:r>
      <w:r w:rsidRPr="00D02938">
        <w:rPr>
          <w:rFonts w:eastAsia="Times New Roman"/>
          <w:color w:val="7D8697"/>
          <w:sz w:val="35"/>
          <w:szCs w:val="35"/>
          <w:lang w:bidi="ar-SA"/>
        </w:rPr>
        <w:t xml:space="preserve">- </w:t>
      </w:r>
      <w:r w:rsidRPr="00D02938">
        <w:rPr>
          <w:rFonts w:eastAsia="Times New Roman"/>
          <w:color w:val="7D8697"/>
          <w:sz w:val="35"/>
          <w:szCs w:val="35"/>
          <w:rtl/>
          <w:lang w:bidi="ar-SA"/>
        </w:rPr>
        <w:t>محمد بن علي بن الحسين بإسناده عن زرارة عن أبي جعفر ع أنه قال: لا تعاد الصلاة إلا من</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خمسة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الطهور</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الوقت</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القبلة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الركوع</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السجود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ثم</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قال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القراءة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سنة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التشهد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سنة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لا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تنقض</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السنة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الفريضة</w:t>
      </w:r>
      <w:r w:rsidRPr="00D02938">
        <w:rPr>
          <w:rFonts w:eastAsia="Times New Roman"/>
          <w:color w:val="7D8697"/>
          <w:sz w:val="35"/>
          <w:szCs w:val="35"/>
          <w:lang w:bidi="ar-SA"/>
        </w:rPr>
        <w:t>.</w:t>
      </w:r>
      <w:r w:rsidRPr="00D02938">
        <w:rPr>
          <w:rFonts w:eastAsia="Times New Roman"/>
          <w:color w:val="7D8697"/>
          <w:sz w:val="35"/>
          <w:szCs w:val="35"/>
          <w:lang w:bidi="ar-SA"/>
        </w:rPr>
        <w:br/>
      </w:r>
      <w:r w:rsidRPr="00D02938">
        <w:rPr>
          <w:rFonts w:eastAsia="Times New Roman"/>
          <w:color w:val="7D8697"/>
          <w:sz w:val="35"/>
          <w:szCs w:val="35"/>
          <w:rtl/>
          <w:lang w:bidi="ar-SA"/>
        </w:rPr>
        <w:t>أقول: هذا محمول على الترك سهوا أو نسيانا أو جهلا و قد تقدم ما يدل على ذلك</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يأتي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يدل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عليه</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lang w:bidi="ar-SA"/>
        </w:rPr>
        <w:t>.</w:t>
      </w:r>
    </w:p>
    <w:p w14:paraId="6874F25E" w14:textId="77777777" w:rsidR="00D02938" w:rsidRPr="00D02938" w:rsidRDefault="00D02938" w:rsidP="00D02938">
      <w:pPr>
        <w:shd w:val="clear" w:color="auto" w:fill="FFFFFF"/>
        <w:spacing w:before="100" w:beforeAutospacing="1" w:after="0" w:line="240" w:lineRule="auto"/>
        <w:jc w:val="left"/>
        <w:rPr>
          <w:rFonts w:eastAsia="Times New Roman"/>
          <w:color w:val="7D8697"/>
          <w:sz w:val="35"/>
          <w:szCs w:val="35"/>
          <w:lang w:bidi="ar-SA"/>
        </w:rPr>
      </w:pPr>
      <w:r w:rsidRPr="00D02938">
        <w:rPr>
          <w:rFonts w:eastAsia="Times New Roman"/>
          <w:i/>
          <w:iCs/>
          <w:color w:val="7D8697"/>
          <w:sz w:val="35"/>
          <w:szCs w:val="35"/>
          <w:rtl/>
          <w:lang w:bidi="ar-SA"/>
        </w:rPr>
        <w:t>وسائل الشيعة</w:t>
      </w:r>
      <w:r w:rsidRPr="00D02938">
        <w:rPr>
          <w:rFonts w:eastAsia="Times New Roman"/>
          <w:color w:val="7D8697"/>
          <w:sz w:val="35"/>
          <w:szCs w:val="35"/>
          <w:rtl/>
          <w:lang w:bidi="ar-SA"/>
        </w:rPr>
        <w:t>؛ ج</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rPr>
        <w:t>۳</w:t>
      </w:r>
      <w:r w:rsidRPr="00D02938">
        <w:rPr>
          <w:rFonts w:eastAsia="Times New Roman"/>
          <w:color w:val="7D8697"/>
          <w:sz w:val="35"/>
          <w:szCs w:val="35"/>
          <w:rtl/>
          <w:lang w:bidi="ar-SA"/>
        </w:rPr>
        <w:t>؛ ص</w:t>
      </w:r>
      <w:r w:rsidRPr="00D02938">
        <w:rPr>
          <w:rFonts w:eastAsia="Times New Roman"/>
          <w:color w:val="7D8697"/>
          <w:sz w:val="35"/>
          <w:szCs w:val="35"/>
          <w:rtl/>
        </w:rPr>
        <w:t>۴۰۲</w:t>
      </w:r>
      <w:r w:rsidRPr="00D02938">
        <w:rPr>
          <w:rFonts w:eastAsia="Times New Roman"/>
          <w:color w:val="7D8697"/>
          <w:sz w:val="35"/>
          <w:szCs w:val="35"/>
          <w:lang w:bidi="ar-SA"/>
        </w:rPr>
        <w:br/>
      </w:r>
      <w:r w:rsidRPr="00D02938">
        <w:rPr>
          <w:rFonts w:eastAsia="Times New Roman"/>
          <w:color w:val="7D8697"/>
          <w:sz w:val="35"/>
          <w:szCs w:val="35"/>
          <w:rtl/>
        </w:rPr>
        <w:t>۳۹۷۸</w:t>
      </w:r>
      <w:r w:rsidRPr="00D02938">
        <w:rPr>
          <w:rFonts w:eastAsia="Times New Roman"/>
          <w:color w:val="7D8697"/>
          <w:sz w:val="35"/>
          <w:szCs w:val="35"/>
          <w:lang w:bidi="ar-SA"/>
        </w:rPr>
        <w:t xml:space="preserve">- </w:t>
      </w:r>
      <w:r w:rsidRPr="00D02938">
        <w:rPr>
          <w:rFonts w:eastAsia="Times New Roman"/>
          <w:color w:val="7D8697"/>
          <w:sz w:val="35"/>
          <w:szCs w:val="35"/>
          <w:rtl/>
        </w:rPr>
        <w:t>۲</w:t>
      </w:r>
      <w:r w:rsidRPr="00D02938">
        <w:rPr>
          <w:rFonts w:eastAsia="Times New Roman"/>
          <w:color w:val="7D8697"/>
          <w:sz w:val="35"/>
          <w:szCs w:val="35"/>
          <w:lang w:bidi="ar-SA"/>
        </w:rPr>
        <w:t xml:space="preserve">- </w:t>
      </w:r>
      <w:r w:rsidRPr="00D02938">
        <w:rPr>
          <w:rFonts w:eastAsia="Times New Roman"/>
          <w:color w:val="7D8697"/>
          <w:sz w:val="35"/>
          <w:szCs w:val="35"/>
          <w:rtl/>
          <w:lang w:bidi="ar-SA"/>
        </w:rPr>
        <w:t>و عنه عن حماد عن حريز عن زرارة قال: قلت أصاب ثوبي دم</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رعاف</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غيره</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شي</w:t>
      </w:r>
      <w:r w:rsidRPr="00D02938">
        <w:rPr>
          <w:rFonts w:ascii="Arial" w:eastAsia="Times New Roman" w:hAnsi="Arial" w:cs="Arial" w:hint="cs"/>
          <w:color w:val="7D8697"/>
          <w:sz w:val="35"/>
          <w:szCs w:val="35"/>
          <w:rtl/>
          <w:lang w:bidi="ar-SA"/>
        </w:rPr>
        <w:t>‏</w:t>
      </w:r>
      <w:r w:rsidRPr="00D02938">
        <w:rPr>
          <w:rFonts w:eastAsia="Times New Roman" w:hint="cs"/>
          <w:color w:val="7D8697"/>
          <w:sz w:val="35"/>
          <w:szCs w:val="35"/>
          <w:rtl/>
          <w:lang w:bidi="ar-SA"/>
        </w:rPr>
        <w:t>ء</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مني</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إلى</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قال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قلت</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فإني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علمت</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أصابه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لم</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أدر</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أين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هو</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فأغسله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قال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تغسل</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ثوبك</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الناحية</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التي</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ترى</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أنه</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قد</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أصابها</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حتى</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تكون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على</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يقين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من</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طهارتك</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الحديث</w:t>
      </w:r>
      <w:r w:rsidRPr="00D02938">
        <w:rPr>
          <w:rFonts w:eastAsia="Times New Roman"/>
          <w:color w:val="7D8697"/>
          <w:sz w:val="35"/>
          <w:szCs w:val="35"/>
          <w:lang w:bidi="ar-SA"/>
        </w:rPr>
        <w:t>.</w:t>
      </w:r>
      <w:r w:rsidRPr="00D02938">
        <w:rPr>
          <w:rFonts w:eastAsia="Times New Roman"/>
          <w:color w:val="7D8697"/>
          <w:sz w:val="35"/>
          <w:szCs w:val="35"/>
          <w:lang w:bidi="ar-SA"/>
        </w:rPr>
        <w:br/>
      </w:r>
      <w:r w:rsidRPr="00D02938">
        <w:rPr>
          <w:rFonts w:eastAsia="Times New Roman"/>
          <w:color w:val="7D8697"/>
          <w:sz w:val="35"/>
          <w:szCs w:val="35"/>
          <w:rtl/>
          <w:lang w:bidi="ar-SA"/>
        </w:rPr>
        <w:t>و رواه الصدوق في العلل عن أبيه عن علي بن إبراهيم عن أبيه عن حماد عن حريز عن زرارة عن أبي جعفر ع</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rtl/>
          <w:lang w:bidi="ar-SA"/>
        </w:rPr>
        <w:t xml:space="preserve"> </w:t>
      </w:r>
      <w:r w:rsidRPr="00D02938">
        <w:rPr>
          <w:rFonts w:eastAsia="Times New Roman" w:hint="cs"/>
          <w:color w:val="7D8697"/>
          <w:sz w:val="35"/>
          <w:szCs w:val="35"/>
          <w:rtl/>
          <w:lang w:bidi="ar-SA"/>
        </w:rPr>
        <w:t>مثله</w:t>
      </w:r>
      <w:r w:rsidRPr="00D02938">
        <w:rPr>
          <w:rFonts w:ascii="Arial" w:eastAsia="Times New Roman" w:hAnsi="Arial" w:cs="Arial" w:hint="cs"/>
          <w:color w:val="7D8697"/>
          <w:sz w:val="35"/>
          <w:szCs w:val="35"/>
          <w:rtl/>
          <w:lang w:bidi="ar-SA"/>
        </w:rPr>
        <w:t>‏</w:t>
      </w:r>
      <w:r w:rsidRPr="00D02938">
        <w:rPr>
          <w:rFonts w:eastAsia="Times New Roman"/>
          <w:color w:val="7D8697"/>
          <w:sz w:val="35"/>
          <w:szCs w:val="35"/>
          <w:lang w:bidi="ar-SA"/>
        </w:rPr>
        <w:t>.</w:t>
      </w:r>
    </w:p>
    <w:p w14:paraId="6982E5E6" w14:textId="77777777" w:rsidR="00D02938" w:rsidRPr="00D02938" w:rsidRDefault="00D02938" w:rsidP="00D0293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02938">
        <w:rPr>
          <w:rFonts w:eastAsia="Times New Roman"/>
          <w:b/>
          <w:bCs/>
          <w:color w:val="D08770"/>
          <w:spacing w:val="-4"/>
          <w:sz w:val="36"/>
          <w:szCs w:val="36"/>
          <w:rtl/>
          <w:lang w:bidi="ar-SA"/>
        </w:rPr>
        <w:t>مقدمه و مرور مباحث پیشین</w:t>
      </w:r>
    </w:p>
    <w:p w14:paraId="5DBA9C05"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lastRenderedPageBreak/>
        <w:t>همان‌طور که در جلسات گذشته بیان شد، در مسئله نوزدهم — پیرامون شخصی که </w:t>
      </w:r>
      <w:r w:rsidRPr="00D02938">
        <w:rPr>
          <w:rFonts w:eastAsia="Times New Roman"/>
          <w:color w:val="2E3440"/>
          <w:sz w:val="30"/>
          <w:szCs w:val="30"/>
          <w:bdr w:val="single" w:sz="2" w:space="2" w:color="D8DEE9" w:frame="1"/>
          <w:shd w:val="clear" w:color="auto" w:fill="ECEFF4"/>
          <w:rtl/>
          <w:lang w:bidi="ar-SA"/>
        </w:rPr>
        <w:t>صلى في ما لا يؤكل لحمه جاهلا أو نسيانا</w:t>
      </w:r>
      <w:r w:rsidRPr="00D02938">
        <w:rPr>
          <w:rFonts w:eastAsia="Times New Roman"/>
          <w:color w:val="2E3440"/>
          <w:sz w:val="35"/>
          <w:szCs w:val="35"/>
          <w:rtl/>
          <w:lang w:bidi="ar-SA"/>
        </w:rPr>
        <w:t> </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مقتضای قاعده اولیه و اخذ به اطلاق دلیل مانعیت (که در جمله اول موثقه ابن بکیر و سایر روایات آمده)، حکم به بطلان نماز در تمام صور نسیان و جهل است. با این حال، در مقابل اطلاق دلیل مانعیت، چهار دلیل دیگر وجود دارد که تعیین مفاد آن‌ها و کیفیت جمع بینشان، در تعیین حکم نهایی این مسئله نقش اساسی دارد</w:t>
      </w:r>
      <w:r w:rsidRPr="00D02938">
        <w:rPr>
          <w:rFonts w:eastAsia="Times New Roman"/>
          <w:color w:val="2E3440"/>
          <w:sz w:val="35"/>
          <w:szCs w:val="35"/>
          <w:lang w:bidi="ar-SA"/>
        </w:rPr>
        <w:t>.</w:t>
      </w:r>
    </w:p>
    <w:p w14:paraId="5B004222" w14:textId="77777777" w:rsidR="00D02938" w:rsidRPr="00D02938" w:rsidRDefault="00D02938" w:rsidP="00D0293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ادله چهارگانه در تعیین حکم مسئله</w:t>
      </w:r>
    </w:p>
    <w:p w14:paraId="33F5F5C8" w14:textId="0A7F4F99" w:rsidR="00D02938" w:rsidRPr="00D02938" w:rsidRDefault="00D02938" w:rsidP="00EF2E7F">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این ادله که مکرراً به آن‌ها اشاره شده، عبارتند از</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۱</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صحیحه عبدالرحمن بن ابی‌عبدالله</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۲</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حدیث «لا تعاد</w:t>
      </w:r>
      <w:r w:rsidR="00EF2E7F">
        <w:rPr>
          <w:rFonts w:eastAsia="Times New Roman" w:hint="cs"/>
          <w:color w:val="2E3440"/>
          <w:sz w:val="35"/>
          <w:szCs w:val="35"/>
          <w:rtl/>
          <w:lang w:bidi="ar-SA"/>
        </w:rPr>
        <w:t>»</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۳</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جمله دوم از موثقه ابن بکیر</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۴</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صحیحه</w:t>
      </w:r>
      <w:r w:rsidR="00EF2E7F">
        <w:rPr>
          <w:rFonts w:eastAsia="Times New Roman" w:hint="cs"/>
          <w:color w:val="2E3440"/>
          <w:sz w:val="35"/>
          <w:szCs w:val="35"/>
          <w:rtl/>
          <w:lang w:bidi="ar-SA"/>
        </w:rPr>
        <w:t xml:space="preserve"> ثانيه</w:t>
      </w:r>
      <w:r w:rsidRPr="00D02938">
        <w:rPr>
          <w:rFonts w:eastAsia="Times New Roman"/>
          <w:color w:val="2E3440"/>
          <w:sz w:val="35"/>
          <w:szCs w:val="35"/>
          <w:rtl/>
          <w:lang w:bidi="ar-SA"/>
        </w:rPr>
        <w:t xml:space="preserve"> زراره </w:t>
      </w:r>
      <w:r w:rsidR="00EF2E7F">
        <w:rPr>
          <w:rFonts w:eastAsia="Times New Roman" w:hint="cs"/>
          <w:color w:val="2E3440"/>
          <w:sz w:val="35"/>
          <w:szCs w:val="35"/>
          <w:rtl/>
          <w:lang w:bidi="ar-SA"/>
        </w:rPr>
        <w:t xml:space="preserve">در باب استصحاب </w:t>
      </w:r>
      <w:r w:rsidRPr="00D02938">
        <w:rPr>
          <w:rFonts w:eastAsia="Times New Roman"/>
          <w:color w:val="2E3440"/>
          <w:sz w:val="35"/>
          <w:szCs w:val="35"/>
          <w:rtl/>
          <w:lang w:bidi="ar-SA"/>
        </w:rPr>
        <w:t>و روایات هم‌مضمون با آن</w:t>
      </w:r>
      <w:r w:rsidRPr="00D02938">
        <w:rPr>
          <w:rFonts w:eastAsia="Times New Roman"/>
          <w:color w:val="2E3440"/>
          <w:sz w:val="35"/>
          <w:szCs w:val="35"/>
          <w:lang w:bidi="ar-SA"/>
        </w:rPr>
        <w:t>.</w:t>
      </w:r>
    </w:p>
    <w:p w14:paraId="7DE2D4EA" w14:textId="77777777" w:rsidR="00D02938" w:rsidRPr="00D02938" w:rsidRDefault="00D02938" w:rsidP="00D0293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مقتضای صناعت بر اساس قول صحیح در ادله</w:t>
      </w:r>
    </w:p>
    <w:p w14:paraId="020F1E5B"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در جلسه قبل بیان شد که با توجه به قول صحیح در تعیین مفاد این چهار دلیل، مقتضای صناعت در حکم مسئله نوزدهم مشخص می‌شود. خلاصه مبانی برگزیده در این ادله به شرح زیر است</w:t>
      </w:r>
      <w:r w:rsidRPr="00D02938">
        <w:rPr>
          <w:rFonts w:eastAsia="Times New Roman"/>
          <w:color w:val="2E3440"/>
          <w:sz w:val="35"/>
          <w:szCs w:val="35"/>
          <w:lang w:bidi="ar-SA"/>
        </w:rPr>
        <w:t>:</w:t>
      </w:r>
    </w:p>
    <w:p w14:paraId="190C3A97" w14:textId="77777777" w:rsidR="00D02938" w:rsidRPr="00D02938" w:rsidRDefault="00D02938" w:rsidP="00D02938">
      <w:pPr>
        <w:numPr>
          <w:ilvl w:val="0"/>
          <w:numId w:val="32"/>
        </w:num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lang w:bidi="ar-SA"/>
        </w:rPr>
        <w:t>صحیحه عبدالرحمن بن ابی‌عبدالله</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مفاد آن حکم به صحت در موارد جهل به موضوع (آن هم در برخی از صور) است</w:t>
      </w:r>
      <w:r w:rsidRPr="00D02938">
        <w:rPr>
          <w:rFonts w:eastAsia="Times New Roman"/>
          <w:color w:val="2E3440"/>
          <w:sz w:val="35"/>
          <w:szCs w:val="35"/>
          <w:lang w:bidi="ar-SA"/>
        </w:rPr>
        <w:t>.</w:t>
      </w:r>
    </w:p>
    <w:p w14:paraId="053068CF" w14:textId="77777777" w:rsidR="00D02938" w:rsidRPr="00D02938" w:rsidRDefault="00D02938" w:rsidP="00D02938">
      <w:pPr>
        <w:numPr>
          <w:ilvl w:val="0"/>
          <w:numId w:val="32"/>
        </w:num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lang w:bidi="ar-SA"/>
        </w:rPr>
        <w:t>حدیث لا تعاد</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تمامی موارد نسیان و جهل را شامل می‌شود، به استثنای «جهل تقصیری تردیدی» که از شمول آن خارج است</w:t>
      </w:r>
      <w:r w:rsidRPr="00D02938">
        <w:rPr>
          <w:rFonts w:eastAsia="Times New Roman"/>
          <w:color w:val="2E3440"/>
          <w:sz w:val="35"/>
          <w:szCs w:val="35"/>
          <w:lang w:bidi="ar-SA"/>
        </w:rPr>
        <w:t>.</w:t>
      </w:r>
    </w:p>
    <w:p w14:paraId="2D318F4A" w14:textId="77777777" w:rsidR="00D02938" w:rsidRPr="00D02938" w:rsidRDefault="00D02938" w:rsidP="00D02938">
      <w:pPr>
        <w:numPr>
          <w:ilvl w:val="0"/>
          <w:numId w:val="32"/>
        </w:num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lang w:bidi="ar-SA"/>
        </w:rPr>
        <w:t>جمله دوم موثقه ابن بکیر</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مفاد آن صرفاً تأکید بر جمله سابق است و هیچ‌گونه مفاد تأسیسی ندارد؛ لذا از مجموعه ادله تأثیرگذار در حکم مسئله خارج می‌شود</w:t>
      </w:r>
      <w:r w:rsidRPr="00D02938">
        <w:rPr>
          <w:rFonts w:eastAsia="Times New Roman"/>
          <w:color w:val="2E3440"/>
          <w:sz w:val="35"/>
          <w:szCs w:val="35"/>
          <w:lang w:bidi="ar-SA"/>
        </w:rPr>
        <w:t>.</w:t>
      </w:r>
    </w:p>
    <w:p w14:paraId="6152C54D" w14:textId="77777777" w:rsidR="00D02938" w:rsidRPr="00D02938" w:rsidRDefault="00D02938" w:rsidP="00D02938">
      <w:pPr>
        <w:numPr>
          <w:ilvl w:val="0"/>
          <w:numId w:val="32"/>
        </w:num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lang w:bidi="ar-SA"/>
        </w:rPr>
        <w:t>صحیحه زراره و روایات هم‌مضمون</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 xml:space="preserve">مفاد این دسته از روایات، حکم به بطلان در موارد «نسیان نجاست به نحو موضوعی» است. (امر به اعاده </w:t>
      </w:r>
      <w:r w:rsidRPr="00D02938">
        <w:rPr>
          <w:rFonts w:eastAsia="Times New Roman"/>
          <w:color w:val="2E3440"/>
          <w:sz w:val="35"/>
          <w:szCs w:val="35"/>
          <w:rtl/>
          <w:lang w:bidi="ar-SA"/>
        </w:rPr>
        <w:lastRenderedPageBreak/>
        <w:t>مندرج در این روایات، دال بر بطلان است، نه اینکه صرفاً امری استحبابی برای اعاده نماز باشد)</w:t>
      </w:r>
      <w:r w:rsidRPr="00D02938">
        <w:rPr>
          <w:rFonts w:eastAsia="Times New Roman"/>
          <w:color w:val="2E3440"/>
          <w:sz w:val="35"/>
          <w:szCs w:val="35"/>
          <w:lang w:bidi="ar-SA"/>
        </w:rPr>
        <w:t>.</w:t>
      </w:r>
    </w:p>
    <w:p w14:paraId="3F67F663"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با در نظر گرفتن این مبانی، مقتضای صناعت در حکم مسئله نوزدهم این است که نماز واقع در اجزای حیوان «ما لا یؤکل لحمه»، در تمامی موارد جهل (اعم از جهل به موضوع، جهل به حکم قصوری، و جهل تقصیری با اعتقاد به صحت) محکوم به صحت است و تنها «جهل تقصیری تردیدی» از این حکم مستثناست</w:t>
      </w:r>
      <w:r w:rsidRPr="00D02938">
        <w:rPr>
          <w:rFonts w:eastAsia="Times New Roman"/>
          <w:color w:val="2E3440"/>
          <w:sz w:val="35"/>
          <w:szCs w:val="35"/>
          <w:lang w:bidi="ar-SA"/>
        </w:rPr>
        <w:t>.</w:t>
      </w:r>
    </w:p>
    <w:p w14:paraId="1263FE86"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همچنین در خصوص نسیان، در تمامی اقسام متصور از نسیان موضوع و نسیان حکم، حکم به صحت صادر می‌شود؛ مگر در فرض «نسیان موضوعیِ اجزای نجسه حیوان ما لا یؤکل لحمه» که محکوم به بطلان است. اما اگر نسیان مربوط به اجزای طاهره (مانند مو و پشم) باشد، یا شخص از روی نسیان حکمی، نمازش را در اجزای نجسه ما لا یؤکل واقع سازد، در تمامی این موارد حکم به صحت می‌گردد</w:t>
      </w:r>
      <w:r w:rsidRPr="00D02938">
        <w:rPr>
          <w:rFonts w:eastAsia="Times New Roman"/>
          <w:color w:val="2E3440"/>
          <w:sz w:val="35"/>
          <w:szCs w:val="35"/>
          <w:lang w:bidi="ar-SA"/>
        </w:rPr>
        <w:t>.</w:t>
      </w:r>
    </w:p>
    <w:p w14:paraId="212803E4" w14:textId="77777777" w:rsidR="00D02938" w:rsidRPr="00D02938" w:rsidRDefault="00D02938" w:rsidP="00D0293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02938">
        <w:rPr>
          <w:rFonts w:eastAsia="Times New Roman"/>
          <w:b/>
          <w:bCs/>
          <w:color w:val="D08770"/>
          <w:spacing w:val="-4"/>
          <w:sz w:val="36"/>
          <w:szCs w:val="36"/>
          <w:rtl/>
          <w:lang w:bidi="ar-SA"/>
        </w:rPr>
        <w:t>بررسی و نقد کلام مرحوم آیت‌الله خویی</w:t>
      </w:r>
    </w:p>
    <w:p w14:paraId="172A17EC"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با توجه به مقتضای صناعت که بیان شد، اکنون به بررسی کلام مرحوم آیت‌الله خویی در این مقام می‌پردازیم. ایشان در </w:t>
      </w:r>
      <w:r w:rsidRPr="00D02938">
        <w:rPr>
          <w:rFonts w:eastAsia="Times New Roman"/>
          <w:i/>
          <w:iCs/>
          <w:color w:val="2E3440"/>
          <w:sz w:val="35"/>
          <w:szCs w:val="35"/>
          <w:rtl/>
          <w:lang w:bidi="ar-SA"/>
        </w:rPr>
        <w:t>موسوعة الإمام الخوئي</w:t>
      </w:r>
      <w:r w:rsidRPr="00D02938">
        <w:rPr>
          <w:rFonts w:eastAsia="Times New Roman"/>
          <w:color w:val="2E3440"/>
          <w:sz w:val="35"/>
          <w:szCs w:val="35"/>
          <w:rtl/>
          <w:lang w:bidi="ar-SA"/>
        </w:rPr>
        <w:t> بیانی دارند که جای تأمل و مناقشه دارد. متن فرمایش ایشان به این شرح است</w:t>
      </w:r>
      <w:r w:rsidRPr="00D02938">
        <w:rPr>
          <w:rFonts w:eastAsia="Times New Roman"/>
          <w:color w:val="2E3440"/>
          <w:sz w:val="35"/>
          <w:szCs w:val="35"/>
          <w:lang w:bidi="ar-SA"/>
        </w:rPr>
        <w:t>:</w:t>
      </w:r>
    </w:p>
    <w:p w14:paraId="44E48742" w14:textId="77777777" w:rsidR="00D02938" w:rsidRPr="00D02938" w:rsidRDefault="00D02938" w:rsidP="00D02938">
      <w:pPr>
        <w:shd w:val="clear" w:color="auto" w:fill="FFFFFF"/>
        <w:spacing w:after="100" w:afterAutospacing="1" w:line="240" w:lineRule="auto"/>
        <w:jc w:val="left"/>
        <w:rPr>
          <w:rFonts w:eastAsia="Times New Roman"/>
          <w:color w:val="7D8697"/>
          <w:sz w:val="35"/>
          <w:szCs w:val="35"/>
          <w:lang w:bidi="ar-SA"/>
        </w:rPr>
      </w:pPr>
      <w:r w:rsidRPr="00D02938">
        <w:rPr>
          <w:rFonts w:eastAsia="Times New Roman"/>
          <w:i/>
          <w:iCs/>
          <w:color w:val="7D8697"/>
          <w:sz w:val="35"/>
          <w:szCs w:val="35"/>
          <w:rtl/>
          <w:lang w:bidi="ar-SA"/>
        </w:rPr>
        <w:t>موسوعة الإمام الخوئي</w:t>
      </w:r>
      <w:r w:rsidRPr="00D02938">
        <w:rPr>
          <w:rFonts w:eastAsia="Times New Roman"/>
          <w:color w:val="7D8697"/>
          <w:sz w:val="35"/>
          <w:szCs w:val="35"/>
          <w:rtl/>
          <w:lang w:bidi="ar-SA"/>
        </w:rPr>
        <w:t>؛ ج‌</w:t>
      </w:r>
      <w:r w:rsidRPr="00D02938">
        <w:rPr>
          <w:rFonts w:eastAsia="Times New Roman"/>
          <w:color w:val="7D8697"/>
          <w:sz w:val="35"/>
          <w:szCs w:val="35"/>
          <w:rtl/>
        </w:rPr>
        <w:t>۱۲</w:t>
      </w:r>
      <w:r w:rsidRPr="00D02938">
        <w:rPr>
          <w:rFonts w:eastAsia="Times New Roman"/>
          <w:color w:val="7D8697"/>
          <w:sz w:val="35"/>
          <w:szCs w:val="35"/>
          <w:rtl/>
          <w:lang w:bidi="ar-SA"/>
        </w:rPr>
        <w:t xml:space="preserve">، ص: </w:t>
      </w:r>
      <w:r w:rsidRPr="00D02938">
        <w:rPr>
          <w:rFonts w:eastAsia="Times New Roman"/>
          <w:color w:val="7D8697"/>
          <w:sz w:val="35"/>
          <w:szCs w:val="35"/>
          <w:rtl/>
        </w:rPr>
        <w:t>۲۹۹</w:t>
      </w:r>
      <w:r w:rsidRPr="00D02938">
        <w:rPr>
          <w:rFonts w:eastAsia="Times New Roman"/>
          <w:color w:val="7D8697"/>
          <w:sz w:val="35"/>
          <w:szCs w:val="35"/>
          <w:lang w:bidi="ar-SA"/>
        </w:rPr>
        <w:br/>
      </w:r>
      <w:r w:rsidRPr="00D02938">
        <w:rPr>
          <w:rFonts w:eastAsia="Times New Roman"/>
          <w:color w:val="7D8697"/>
          <w:sz w:val="35"/>
          <w:szCs w:val="35"/>
          <w:rtl/>
          <w:lang w:bidi="ar-SA"/>
        </w:rPr>
        <w:t>و أمّا بالنظر إلى الموثّق فان بنينا على ظهور الفقرة الثانية في التأكيد كما هو الصحيح و لا أقل من عدم الظهور في التأسيس، حيث إنّه (عليه السلام) بعد ما حكم بمانعيّة ما لا يؤكل بمقتضى الفقرة السابقة فلازمه عقلًا و عرفاً لزوم الإعادة لو صلّى فيه، و عدم قبوليّة تلك الصلاة إلا بأن يصلّيها ثانياً فيما أحلّه اللّٰه، فلو القي هذا الكلام على العرف لم يفهم منه حكماً جديداً، بل رأى أنّ ذلك من توابع الحكم الأوّل و مستتبعاته و من شؤونه و لوازمه، و التأكيد و إن كان على خلاف الأصل لكنّه في الكلام الذي يكون قابلًا للحمل على التأسيس بحسب الفهم العرفي، بحيث دار الأمر بينهما، دون ما لا يقبل كما في المقام فلا ظهور للفقرة الثانية في إنشاء حكم ثانوي مجعول للمصلّي فيما لا يؤكل ناسياً أو جاهلًا، بل هي ظاهرة في أصل جعل المانعية تأكيداً للفقرة الأُولى كما عرفت</w:t>
      </w:r>
      <w:r w:rsidRPr="00D02938">
        <w:rPr>
          <w:rFonts w:eastAsia="Times New Roman"/>
          <w:color w:val="7D8697"/>
          <w:sz w:val="35"/>
          <w:szCs w:val="35"/>
          <w:lang w:bidi="ar-SA"/>
        </w:rPr>
        <w:t>.</w:t>
      </w:r>
      <w:r w:rsidRPr="00D02938">
        <w:rPr>
          <w:rFonts w:eastAsia="Times New Roman"/>
          <w:color w:val="7D8697"/>
          <w:sz w:val="35"/>
          <w:szCs w:val="35"/>
          <w:lang w:bidi="ar-SA"/>
        </w:rPr>
        <w:br/>
      </w:r>
      <w:r w:rsidRPr="00D02938">
        <w:rPr>
          <w:rFonts w:eastAsia="Times New Roman"/>
          <w:color w:val="7D8697"/>
          <w:sz w:val="35"/>
          <w:szCs w:val="35"/>
          <w:rtl/>
          <w:lang w:bidi="ar-SA"/>
        </w:rPr>
        <w:lastRenderedPageBreak/>
        <w:t>فعليه لا ريب في حكومة حديث لا تعاد على الموثّق، كغيره من سائر الأدلّة المتكفّلة للأحكام الأوّلية التي هي محكومة بالنسبة إلى الحديث، و حينئذ فتتبع الحكومة مقدار دلالة الحديث سعة و ضيقاً</w:t>
      </w:r>
      <w:r w:rsidRPr="00D02938">
        <w:rPr>
          <w:rFonts w:eastAsia="Times New Roman"/>
          <w:color w:val="7D8697"/>
          <w:sz w:val="35"/>
          <w:szCs w:val="35"/>
          <w:lang w:bidi="ar-SA"/>
        </w:rPr>
        <w:t>.</w:t>
      </w:r>
    </w:p>
    <w:p w14:paraId="0E25D69B" w14:textId="77777777" w:rsidR="00D02938" w:rsidRPr="00D02938" w:rsidRDefault="00D02938" w:rsidP="00D02938">
      <w:pPr>
        <w:shd w:val="clear" w:color="auto" w:fill="FFFFFF"/>
        <w:spacing w:before="100" w:beforeAutospacing="1" w:after="0" w:line="240" w:lineRule="auto"/>
        <w:jc w:val="left"/>
        <w:rPr>
          <w:rFonts w:eastAsia="Times New Roman"/>
          <w:color w:val="7D8697"/>
          <w:sz w:val="35"/>
          <w:szCs w:val="35"/>
          <w:lang w:bidi="ar-SA"/>
        </w:rPr>
      </w:pPr>
      <w:r w:rsidRPr="00D02938">
        <w:rPr>
          <w:rFonts w:eastAsia="Times New Roman"/>
          <w:i/>
          <w:iCs/>
          <w:color w:val="7D8697"/>
          <w:sz w:val="35"/>
          <w:szCs w:val="35"/>
          <w:rtl/>
          <w:lang w:bidi="ar-SA"/>
        </w:rPr>
        <w:t>موسوعة الإمام الخوئي</w:t>
      </w:r>
      <w:r w:rsidRPr="00D02938">
        <w:rPr>
          <w:rFonts w:eastAsia="Times New Roman"/>
          <w:color w:val="7D8697"/>
          <w:sz w:val="35"/>
          <w:szCs w:val="35"/>
          <w:rtl/>
          <w:lang w:bidi="ar-SA"/>
        </w:rPr>
        <w:t>، ج‌</w:t>
      </w:r>
      <w:r w:rsidRPr="00D02938">
        <w:rPr>
          <w:rFonts w:eastAsia="Times New Roman"/>
          <w:color w:val="7D8697"/>
          <w:sz w:val="35"/>
          <w:szCs w:val="35"/>
          <w:rtl/>
        </w:rPr>
        <w:t>۱۲</w:t>
      </w:r>
      <w:r w:rsidRPr="00D02938">
        <w:rPr>
          <w:rFonts w:eastAsia="Times New Roman"/>
          <w:color w:val="7D8697"/>
          <w:sz w:val="35"/>
          <w:szCs w:val="35"/>
          <w:rtl/>
          <w:lang w:bidi="ar-SA"/>
        </w:rPr>
        <w:t xml:space="preserve">، ص: </w:t>
      </w:r>
      <w:r w:rsidRPr="00D02938">
        <w:rPr>
          <w:rFonts w:eastAsia="Times New Roman"/>
          <w:color w:val="7D8697"/>
          <w:sz w:val="35"/>
          <w:szCs w:val="35"/>
          <w:rtl/>
        </w:rPr>
        <w:t>۳۰۰‌</w:t>
      </w:r>
      <w:r w:rsidRPr="00D02938">
        <w:rPr>
          <w:rFonts w:eastAsia="Times New Roman"/>
          <w:color w:val="7D8697"/>
          <w:sz w:val="35"/>
          <w:szCs w:val="35"/>
          <w:lang w:bidi="ar-SA"/>
        </w:rPr>
        <w:br/>
      </w:r>
      <w:r w:rsidRPr="00D02938">
        <w:rPr>
          <w:rFonts w:eastAsia="Times New Roman"/>
          <w:color w:val="7D8697"/>
          <w:sz w:val="35"/>
          <w:szCs w:val="35"/>
          <w:rtl/>
          <w:lang w:bidi="ar-SA"/>
        </w:rPr>
        <w:t>فان قلنا بشموله للجاهل كالناسي كما هو الصحيح لزم الحكم بصحة الصلاة في كلتا الصورتين كما عليه الماتن (قدس سره) و كانت الصحيحة أعني صحيحة عبد الرحمن المتقدمة مؤكّدة للصحة في الجاهل بالإضافة إلى بعض فروضه كما عرفت، و إلا فمستند الحكم على سبيل الإطلاق إنّما هو الحديث</w:t>
      </w:r>
      <w:r w:rsidRPr="00D02938">
        <w:rPr>
          <w:rFonts w:eastAsia="Times New Roman"/>
          <w:color w:val="7D8697"/>
          <w:sz w:val="35"/>
          <w:szCs w:val="35"/>
          <w:lang w:bidi="ar-SA"/>
        </w:rPr>
        <w:t>.</w:t>
      </w:r>
      <w:r w:rsidRPr="00D02938">
        <w:rPr>
          <w:rFonts w:eastAsia="Times New Roman"/>
          <w:color w:val="7D8697"/>
          <w:sz w:val="35"/>
          <w:szCs w:val="35"/>
          <w:lang w:bidi="ar-SA"/>
        </w:rPr>
        <w:br/>
      </w:r>
      <w:r w:rsidRPr="00D02938">
        <w:rPr>
          <w:rFonts w:eastAsia="Times New Roman"/>
          <w:color w:val="7D8697"/>
          <w:sz w:val="35"/>
          <w:szCs w:val="35"/>
          <w:rtl/>
          <w:lang w:bidi="ar-SA"/>
        </w:rPr>
        <w:t>و إن قلنا باختصاصه بالناسي اختصت الصحّة به دون الجاهل إلا في بعض فروضه المندرجة تحت الصحيحة المتقدمة كما مرّ. فيفصّل حينئذ بين صورتي الجهل و النسيان، و يحكم بالصحة في الثاني دون الأوّل على عكس التفصيل المنسوب إلى المشهور</w:t>
      </w:r>
      <w:r w:rsidRPr="00D02938">
        <w:rPr>
          <w:rFonts w:eastAsia="Times New Roman"/>
          <w:color w:val="7D8697"/>
          <w:sz w:val="35"/>
          <w:szCs w:val="35"/>
          <w:lang w:bidi="ar-SA"/>
        </w:rPr>
        <w:t>.</w:t>
      </w:r>
    </w:p>
    <w:p w14:paraId="5CA6B3CD" w14:textId="77777777" w:rsidR="00D02938" w:rsidRPr="00D02938" w:rsidRDefault="00D02938" w:rsidP="00D0293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تبیین فرمایش مرحوم خویی</w:t>
      </w:r>
    </w:p>
    <w:p w14:paraId="024CA1DC"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مرحوم خویی می‌فرمایند: بنا بر اینکه جمله دوم موثقه ابن بکیر تأکید جمله اول باشد و مفاد تأسیسی نداشته باشد، ادله تأثیرگذار منحصر در صحیحه عبدالرحمن بن ابی‌عبدالله و حدیث «لا تعاد» خواهد بود. از آنجا که صحیحه عبدالرحمن تنها جهل به موضوع و برخی از موارد جهل را در بر می‌گیرد، اما دایره شمول حدیث «لا تعاد» گسترده‌تر است، حکم به صحت یا فساد در صور مختلف، تابع سعه و ضیقِ حکومتِ حدیث «لا تعاد» است</w:t>
      </w:r>
      <w:r w:rsidRPr="00D02938">
        <w:rPr>
          <w:rFonts w:eastAsia="Times New Roman"/>
          <w:color w:val="2E3440"/>
          <w:sz w:val="35"/>
          <w:szCs w:val="35"/>
          <w:lang w:bidi="ar-SA"/>
        </w:rPr>
        <w:t>.</w:t>
      </w:r>
    </w:p>
    <w:p w14:paraId="50EA14FE"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بر این اساس، ایشان دو فرض را مطرح می‌کنند</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۱</w:t>
      </w:r>
      <w:r w:rsidRPr="00D02938">
        <w:rPr>
          <w:rFonts w:eastAsia="Times New Roman"/>
          <w:color w:val="2E3440"/>
          <w:sz w:val="35"/>
          <w:szCs w:val="35"/>
          <w:lang w:bidi="ar-SA"/>
        </w:rPr>
        <w:t>. </w:t>
      </w:r>
      <w:r w:rsidRPr="00D02938">
        <w:rPr>
          <w:rFonts w:eastAsia="Times New Roman"/>
          <w:b/>
          <w:bCs/>
          <w:color w:val="2E3440"/>
          <w:sz w:val="35"/>
          <w:szCs w:val="35"/>
          <w:rtl/>
          <w:lang w:bidi="ar-SA"/>
        </w:rPr>
        <w:t>شمول حدیث نسبت به جاهل و ناسی (مبنای مختار ایشان)</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اگر بپذیریم که حدیث «لا تعاد» اختصاص به ناسی ندارد و شامل جاهل نیز می‌شود، در این صورت </w:t>
      </w:r>
      <w:r w:rsidRPr="00D02938">
        <w:rPr>
          <w:rFonts w:eastAsia="Times New Roman"/>
          <w:color w:val="2E3440"/>
          <w:sz w:val="30"/>
          <w:szCs w:val="30"/>
          <w:bdr w:val="single" w:sz="2" w:space="2" w:color="D8DEE9" w:frame="1"/>
          <w:shd w:val="clear" w:color="auto" w:fill="ECEFF4"/>
          <w:rtl/>
          <w:lang w:bidi="ar-SA"/>
        </w:rPr>
        <w:t>لزم الحكم بصحة الصلاة في كلتا الصورتين كما عليه الماتن</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یعنی فتوای مرحوم سید یزدی مبنی بر حکم به صحت در هر دو صورت جهل و نسیان، به طور مطلق تمام است؛ زیرا خود حدیث «لا تعاد» به تنهایی برای اثبات صحت در تمامی موارد کفایت می‌کند و صحیحه عبدالرحمن صرفاً در برخی فروض نقش تأکیدی خواهد داشت</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۲</w:t>
      </w:r>
      <w:r w:rsidRPr="00D02938">
        <w:rPr>
          <w:rFonts w:eastAsia="Times New Roman"/>
          <w:color w:val="2E3440"/>
          <w:sz w:val="35"/>
          <w:szCs w:val="35"/>
          <w:lang w:bidi="ar-SA"/>
        </w:rPr>
        <w:t>. </w:t>
      </w:r>
      <w:r w:rsidRPr="00D02938">
        <w:rPr>
          <w:rFonts w:eastAsia="Times New Roman"/>
          <w:b/>
          <w:bCs/>
          <w:color w:val="2E3440"/>
          <w:sz w:val="35"/>
          <w:szCs w:val="35"/>
          <w:rtl/>
          <w:lang w:bidi="ar-SA"/>
        </w:rPr>
        <w:t>اختصاص حدیث به ناسی (مبنای مرحوم نائینی)</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 xml:space="preserve">اگر قائل شویم که حدیث «لا </w:t>
      </w:r>
      <w:r w:rsidRPr="00D02938">
        <w:rPr>
          <w:rFonts w:eastAsia="Times New Roman"/>
          <w:color w:val="2E3440"/>
          <w:sz w:val="35"/>
          <w:szCs w:val="35"/>
          <w:rtl/>
          <w:lang w:bidi="ar-SA"/>
        </w:rPr>
        <w:lastRenderedPageBreak/>
        <w:t>تعاد» مختص به ناسی است و جاهل را شامل نمی‌شود، در موارد نسیان با تمسک به این حدیث حکم به صحت می‌شود؛ اما در موارد جهل، چون این حدیث قاصر است، تنها در برخی فروض (به واسطه صحیحه عبدالرحمن) می‌توان حکم به صحت کرد و در سایر موارد باید حکم به بطلان داد. در این فرض، نتیجه تفصیلی بر خلاف تفصیل مشهور خواهد بود؛ زیرا مشهور قائل به صحت در فرض جهل و بطلان در فرض نسیان بودند، اما در اینجا نتیجه برعکس می‌شود (صحت در نسیان و بطلان در جهل)</w:t>
      </w:r>
      <w:r w:rsidRPr="00D02938">
        <w:rPr>
          <w:rFonts w:eastAsia="Times New Roman"/>
          <w:color w:val="2E3440"/>
          <w:sz w:val="35"/>
          <w:szCs w:val="35"/>
          <w:lang w:bidi="ar-SA"/>
        </w:rPr>
        <w:t>.</w:t>
      </w:r>
    </w:p>
    <w:p w14:paraId="3F34243A" w14:textId="77777777" w:rsidR="00D02938" w:rsidRPr="00D02938" w:rsidRDefault="00D02938" w:rsidP="00D0293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مناقشات سه‌گانه بر کلام مرحوم خویی</w:t>
      </w:r>
    </w:p>
    <w:p w14:paraId="4E5E8848" w14:textId="65EF5B85" w:rsidR="00D02938" w:rsidRPr="00D02938" w:rsidRDefault="00D02938" w:rsidP="00947930">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با عنایت به م</w:t>
      </w:r>
      <w:r w:rsidR="00947930">
        <w:rPr>
          <w:rFonts w:eastAsia="Times New Roman" w:hint="cs"/>
          <w:color w:val="2E3440"/>
          <w:sz w:val="35"/>
          <w:szCs w:val="35"/>
          <w:rtl/>
          <w:lang w:bidi="ar-SA"/>
        </w:rPr>
        <w:t xml:space="preserve">طالب </w:t>
      </w:r>
      <w:r w:rsidRPr="00D02938">
        <w:rPr>
          <w:rFonts w:eastAsia="Times New Roman"/>
          <w:color w:val="2E3440"/>
          <w:sz w:val="35"/>
          <w:szCs w:val="35"/>
          <w:rtl/>
          <w:lang w:bidi="ar-SA"/>
        </w:rPr>
        <w:t xml:space="preserve">پیشین، به نظر می‌رسد که فرمایش مرحوم آیت‌الله خویی از سه جهت قابل مناقشه است. </w:t>
      </w:r>
      <w:r w:rsidR="004A0C5A">
        <w:rPr>
          <w:rFonts w:eastAsia="Times New Roman" w:hint="cs"/>
          <w:color w:val="2E3440"/>
          <w:sz w:val="35"/>
          <w:szCs w:val="35"/>
          <w:rtl/>
          <w:lang w:bidi="ar-SA"/>
        </w:rPr>
        <w:t>(</w:t>
      </w:r>
      <w:r w:rsidRPr="00D02938">
        <w:rPr>
          <w:rFonts w:eastAsia="Times New Roman"/>
          <w:color w:val="2E3440"/>
          <w:sz w:val="35"/>
          <w:szCs w:val="35"/>
          <w:rtl/>
          <w:lang w:bidi="ar-SA"/>
        </w:rPr>
        <w:t xml:space="preserve">هرچند </w:t>
      </w:r>
      <w:r w:rsidR="00EF2E7F">
        <w:rPr>
          <w:rFonts w:eastAsia="Times New Roman" w:hint="cs"/>
          <w:color w:val="2E3440"/>
          <w:sz w:val="35"/>
          <w:szCs w:val="35"/>
          <w:rtl/>
          <w:lang w:bidi="ar-SA"/>
        </w:rPr>
        <w:t>عظمت مقام</w:t>
      </w:r>
      <w:r w:rsidR="005B0AC4">
        <w:rPr>
          <w:rFonts w:eastAsia="Times New Roman" w:hint="cs"/>
          <w:color w:val="2E3440"/>
          <w:sz w:val="35"/>
          <w:szCs w:val="35"/>
          <w:rtl/>
          <w:lang w:bidi="ar-SA"/>
        </w:rPr>
        <w:t xml:space="preserve"> علمی</w:t>
      </w:r>
      <w:r w:rsidR="00EF2E7F">
        <w:rPr>
          <w:rFonts w:eastAsia="Times New Roman" w:hint="cs"/>
          <w:color w:val="2E3440"/>
          <w:sz w:val="35"/>
          <w:szCs w:val="35"/>
          <w:rtl/>
          <w:lang w:bidi="ar-SA"/>
        </w:rPr>
        <w:t xml:space="preserve"> ايشان </w:t>
      </w:r>
      <w:r w:rsidR="00947930">
        <w:rPr>
          <w:rFonts w:eastAsia="Times New Roman" w:hint="cs"/>
          <w:color w:val="2E3440"/>
          <w:sz w:val="35"/>
          <w:szCs w:val="35"/>
          <w:rtl/>
          <w:lang w:bidi="ar-SA"/>
        </w:rPr>
        <w:t xml:space="preserve">که </w:t>
      </w:r>
      <w:r w:rsidR="00EF2E7F">
        <w:rPr>
          <w:rFonts w:eastAsia="Times New Roman" w:hint="cs"/>
          <w:color w:val="2E3440"/>
          <w:sz w:val="35"/>
          <w:szCs w:val="35"/>
          <w:rtl/>
          <w:lang w:bidi="ar-SA"/>
        </w:rPr>
        <w:t xml:space="preserve">مفروغ عنه است </w:t>
      </w:r>
      <w:r w:rsidR="004A0C5A">
        <w:rPr>
          <w:rFonts w:eastAsia="Times New Roman" w:hint="cs"/>
          <w:color w:val="2E3440"/>
          <w:sz w:val="35"/>
          <w:szCs w:val="35"/>
          <w:rtl/>
          <w:lang w:bidi="ar-SA"/>
        </w:rPr>
        <w:t xml:space="preserve">وهمه را وادار به خضوع کرده است </w:t>
      </w:r>
      <w:r w:rsidR="00947930">
        <w:rPr>
          <w:rFonts w:eastAsia="Times New Roman" w:hint="cs"/>
          <w:color w:val="2E3440"/>
          <w:sz w:val="35"/>
          <w:szCs w:val="35"/>
          <w:rtl/>
          <w:lang w:bidi="ar-SA"/>
        </w:rPr>
        <w:t xml:space="preserve">اشکال کردن به کلام ايشان را سخت می کند </w:t>
      </w:r>
      <w:r w:rsidR="004A0C5A">
        <w:rPr>
          <w:rFonts w:eastAsia="Times New Roman" w:hint="cs"/>
          <w:color w:val="2E3440"/>
          <w:sz w:val="35"/>
          <w:szCs w:val="35"/>
          <w:rtl/>
          <w:lang w:bidi="ar-SA"/>
        </w:rPr>
        <w:t>ولی</w:t>
      </w:r>
      <w:r w:rsidR="00EF2E7F">
        <w:rPr>
          <w:rFonts w:eastAsia="Times New Roman" w:hint="cs"/>
          <w:color w:val="2E3440"/>
          <w:sz w:val="35"/>
          <w:szCs w:val="35"/>
          <w:rtl/>
          <w:lang w:bidi="ar-SA"/>
        </w:rPr>
        <w:t xml:space="preserve"> </w:t>
      </w:r>
      <w:r w:rsidRPr="00D02938">
        <w:rPr>
          <w:rFonts w:eastAsia="Times New Roman"/>
          <w:color w:val="2E3440"/>
          <w:sz w:val="35"/>
          <w:szCs w:val="35"/>
          <w:rtl/>
          <w:lang w:bidi="ar-SA"/>
        </w:rPr>
        <w:t>در مباحث علمی، کلام غیر معصوم همواره در معرض نقد و نقض قرار دارد</w:t>
      </w:r>
      <w:r w:rsidR="004A0C5A">
        <w:rPr>
          <w:rFonts w:eastAsia="Times New Roman" w:hint="cs"/>
          <w:color w:val="2E3440"/>
          <w:sz w:val="35"/>
          <w:szCs w:val="35"/>
          <w:rtl/>
          <w:lang w:bidi="ar-SA"/>
        </w:rPr>
        <w:t xml:space="preserve"> ، فقط کلام معصوم است که غير قابل نقد است و الا کلمات غير معصوم در هر درجه ای که باشند جای نقد و اشکال دارد و برای تعميق مباحث علمی  </w:t>
      </w:r>
      <w:r w:rsidRPr="00D02938">
        <w:rPr>
          <w:rFonts w:eastAsia="Times New Roman"/>
          <w:color w:val="2E3440"/>
          <w:sz w:val="35"/>
          <w:szCs w:val="35"/>
          <w:rtl/>
          <w:lang w:bidi="ar-SA"/>
        </w:rPr>
        <w:t>طرح اشکال</w:t>
      </w:r>
      <w:r w:rsidR="004A0C5A">
        <w:rPr>
          <w:rFonts w:eastAsia="Times New Roman" w:hint="cs"/>
          <w:color w:val="2E3440"/>
          <w:sz w:val="35"/>
          <w:szCs w:val="35"/>
          <w:rtl/>
          <w:lang w:bidi="ar-SA"/>
        </w:rPr>
        <w:t xml:space="preserve"> و نقد </w:t>
      </w:r>
      <w:r w:rsidRPr="00D02938">
        <w:rPr>
          <w:rFonts w:eastAsia="Times New Roman"/>
          <w:color w:val="2E3440"/>
          <w:sz w:val="35"/>
          <w:szCs w:val="35"/>
          <w:rtl/>
          <w:lang w:bidi="ar-SA"/>
        </w:rPr>
        <w:t>ضروری است</w:t>
      </w:r>
      <w:r w:rsidR="004A0C5A">
        <w:rPr>
          <w:rFonts w:eastAsia="Times New Roman" w:hint="cs"/>
          <w:color w:val="2E3440"/>
          <w:sz w:val="35"/>
          <w:szCs w:val="35"/>
          <w:rtl/>
          <w:lang w:bidi="ar-SA"/>
        </w:rPr>
        <w:t xml:space="preserve">) </w:t>
      </w:r>
      <w:r w:rsidRPr="00D02938">
        <w:rPr>
          <w:rFonts w:eastAsia="Times New Roman"/>
          <w:color w:val="2E3440"/>
          <w:sz w:val="35"/>
          <w:szCs w:val="35"/>
          <w:lang w:bidi="ar-SA"/>
        </w:rPr>
        <w:t>:</w:t>
      </w:r>
    </w:p>
    <w:p w14:paraId="1B9F0960" w14:textId="0B489DDD" w:rsidR="00D02938" w:rsidRPr="00D02938" w:rsidRDefault="00D02938" w:rsidP="004A0C5A">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rPr>
        <w:t>۱</w:t>
      </w:r>
      <w:r w:rsidRPr="00D02938">
        <w:rPr>
          <w:rFonts w:eastAsia="Times New Roman"/>
          <w:b/>
          <w:bCs/>
          <w:color w:val="2E3440"/>
          <w:sz w:val="35"/>
          <w:szCs w:val="35"/>
          <w:lang w:bidi="ar-SA"/>
        </w:rPr>
        <w:t xml:space="preserve">. </w:t>
      </w:r>
      <w:r w:rsidRPr="00D02938">
        <w:rPr>
          <w:rFonts w:eastAsia="Times New Roman"/>
          <w:b/>
          <w:bCs/>
          <w:color w:val="2E3440"/>
          <w:sz w:val="35"/>
          <w:szCs w:val="35"/>
          <w:rtl/>
          <w:lang w:bidi="ar-SA"/>
        </w:rPr>
        <w:t>عدم شمول حدیث «لا تعاد» نسبت به جهل تقصیری</w:t>
      </w:r>
      <w:r w:rsidRPr="00D02938">
        <w:rPr>
          <w:rFonts w:eastAsia="Times New Roman"/>
          <w:b/>
          <w:bCs/>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مناقشه اول این است که حتی اگر بپذیریم جمله دوم موثقه ابن بکیر تأکیدی است و ادله تأثیرگذار منحصر در صحیحه عبدالرحمن و حدیث «لا تعاد» است، و حتی اگر (برخلاف نظر مرحوم نائینی) بپذیریم که حدیث «لا تعاد» شامل صورت جهل نیز می‌شود، باز هم نمی‌توان فتوای مرحوم سید را به نحو مطلق توجیه کرد و در تمامی صور جهل حکم به صحت داد</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دلیل این امر آن است که حدیث «لا تعاد» تمامی موارد جهل را در بر نمی‌گیرد. حتی بر اساس مبنای خود مرحوم خویی، این حدیث تنها شامل «جهل به حکم قصوری» می‌شود و «جهل به حکم تقصیری» را در بر نمی‌گیرد. بنابراین، از آنجا که حکومت حدیث «لا تعاد» در مورد جهل تقصیری پذیرفته نیست، نمی‌توان در این فرض حکم به صحت کرد</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 xml:space="preserve">مرحوم خویی </w:t>
      </w:r>
      <w:r w:rsidR="004A0C5A">
        <w:rPr>
          <w:rFonts w:eastAsia="Times New Roman" w:hint="cs"/>
          <w:color w:val="2E3440"/>
          <w:sz w:val="35"/>
          <w:szCs w:val="35"/>
          <w:rtl/>
          <w:lang w:bidi="ar-SA"/>
        </w:rPr>
        <w:t xml:space="preserve"> با اينکه </w:t>
      </w:r>
      <w:r w:rsidRPr="00D02938">
        <w:rPr>
          <w:rFonts w:eastAsia="Times New Roman"/>
          <w:color w:val="2E3440"/>
          <w:sz w:val="35"/>
          <w:szCs w:val="35"/>
          <w:rtl/>
          <w:lang w:bidi="ar-SA"/>
        </w:rPr>
        <w:t>در قسمت دوم بحث خود (آنجا که فرض تأسیسی بودن جمله دوم موثقه را بررسی می‌کنند)، این مبنای خود را اعمال کرده و فرموده‌اند که حدیث «لا تعاد» جهل تقصیری را شامل نمی‌شود.</w:t>
      </w:r>
      <w:r w:rsidR="004A0C5A">
        <w:rPr>
          <w:rFonts w:eastAsia="Times New Roman" w:hint="cs"/>
          <w:color w:val="2E3440"/>
          <w:sz w:val="35"/>
          <w:szCs w:val="35"/>
          <w:rtl/>
          <w:lang w:bidi="ar-SA"/>
        </w:rPr>
        <w:t>(و</w:t>
      </w:r>
      <w:r w:rsidRPr="00D02938">
        <w:rPr>
          <w:rFonts w:eastAsia="Times New Roman"/>
          <w:color w:val="2E3440"/>
          <w:sz w:val="35"/>
          <w:szCs w:val="35"/>
          <w:rtl/>
          <w:lang w:bidi="ar-SA"/>
        </w:rPr>
        <w:t xml:space="preserve"> این نشان می‌دهد که ایشان عنوان </w:t>
      </w:r>
      <w:r w:rsidRPr="00D02938">
        <w:rPr>
          <w:rFonts w:eastAsia="Times New Roman"/>
          <w:color w:val="2E3440"/>
          <w:sz w:val="35"/>
          <w:szCs w:val="35"/>
          <w:rtl/>
          <w:lang w:bidi="ar-SA"/>
        </w:rPr>
        <w:lastRenderedPageBreak/>
        <w:t>مسئله را منحصر در جهل قصوری ندانسته‌اند.</w:t>
      </w:r>
      <w:r w:rsidR="004A0C5A">
        <w:rPr>
          <w:rFonts w:eastAsia="Times New Roman" w:hint="cs"/>
          <w:color w:val="2E3440"/>
          <w:sz w:val="35"/>
          <w:szCs w:val="35"/>
          <w:rtl/>
          <w:lang w:bidi="ar-SA"/>
        </w:rPr>
        <w:t>)</w:t>
      </w:r>
      <w:r w:rsidRPr="00D02938">
        <w:rPr>
          <w:rFonts w:eastAsia="Times New Roman"/>
          <w:color w:val="2E3440"/>
          <w:sz w:val="35"/>
          <w:szCs w:val="35"/>
          <w:rtl/>
          <w:lang w:bidi="ar-SA"/>
        </w:rPr>
        <w:t xml:space="preserve"> با این حال، در این قسمت از بحث (بنا بر فرض تأکیدی بودن موثقه)، </w:t>
      </w:r>
      <w:r w:rsidR="004A0C5A">
        <w:rPr>
          <w:rFonts w:eastAsia="Times New Roman" w:hint="cs"/>
          <w:color w:val="2E3440"/>
          <w:sz w:val="35"/>
          <w:szCs w:val="35"/>
          <w:rtl/>
          <w:lang w:bidi="ar-SA"/>
        </w:rPr>
        <w:t xml:space="preserve">مبنای خودشان را در عدم شمول حديث لاتعاد نسبت به جهل تقصيری به حکم </w:t>
      </w:r>
      <w:r w:rsidRPr="00D02938">
        <w:rPr>
          <w:rFonts w:eastAsia="Times New Roman"/>
          <w:color w:val="2E3440"/>
          <w:sz w:val="35"/>
          <w:szCs w:val="35"/>
          <w:rtl/>
          <w:lang w:bidi="ar-SA"/>
        </w:rPr>
        <w:t xml:space="preserve"> اعمال </w:t>
      </w:r>
      <w:r w:rsidR="004A0C5A">
        <w:rPr>
          <w:rFonts w:eastAsia="Times New Roman" w:hint="cs"/>
          <w:color w:val="2E3440"/>
          <w:sz w:val="35"/>
          <w:szCs w:val="35"/>
          <w:rtl/>
          <w:lang w:bidi="ar-SA"/>
        </w:rPr>
        <w:t xml:space="preserve">نکرده اند </w:t>
      </w:r>
      <w:r w:rsidRPr="00D02938">
        <w:rPr>
          <w:rFonts w:eastAsia="Times New Roman"/>
          <w:color w:val="2E3440"/>
          <w:sz w:val="35"/>
          <w:szCs w:val="35"/>
          <w:rtl/>
          <w:lang w:bidi="ar-SA"/>
        </w:rPr>
        <w:t>؛ در حالی که اقتضای صناعت این بود که بفرمایند: «ولو حدیث لا تعاد جهل قصوری را می‌گیرد، اما چون شامل جهل تقصیری نمی‌شود، حکم به صحت مطلق در فرض جهل تمام نیست</w:t>
      </w:r>
      <w:r w:rsidRPr="00D02938">
        <w:rPr>
          <w:rFonts w:eastAsia="Times New Roman"/>
          <w:color w:val="2E3440"/>
          <w:sz w:val="35"/>
          <w:szCs w:val="35"/>
          <w:lang w:bidi="ar-SA"/>
        </w:rPr>
        <w:t>.</w:t>
      </w:r>
      <w:r w:rsidR="004A0C5A">
        <w:rPr>
          <w:rFonts w:eastAsia="Times New Roman" w:hint="cs"/>
          <w:color w:val="2E3440"/>
          <w:sz w:val="35"/>
          <w:szCs w:val="35"/>
          <w:rtl/>
          <w:lang w:bidi="ar-SA"/>
        </w:rPr>
        <w:t>»</w:t>
      </w:r>
    </w:p>
    <w:p w14:paraId="3F376BD6" w14:textId="08A09E7A" w:rsidR="00D02938" w:rsidRPr="00D02938" w:rsidRDefault="00D02938" w:rsidP="00AD5827">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rPr>
        <w:t>۲</w:t>
      </w:r>
      <w:r w:rsidRPr="00D02938">
        <w:rPr>
          <w:rFonts w:eastAsia="Times New Roman"/>
          <w:b/>
          <w:bCs/>
          <w:color w:val="2E3440"/>
          <w:sz w:val="35"/>
          <w:szCs w:val="35"/>
          <w:lang w:bidi="ar-SA"/>
        </w:rPr>
        <w:t xml:space="preserve">. </w:t>
      </w:r>
      <w:r w:rsidR="00AD5827">
        <w:rPr>
          <w:rFonts w:eastAsia="Times New Roman" w:hint="cs"/>
          <w:b/>
          <w:bCs/>
          <w:color w:val="2E3440"/>
          <w:sz w:val="35"/>
          <w:szCs w:val="35"/>
          <w:rtl/>
          <w:lang w:bidi="ar-SA"/>
        </w:rPr>
        <w:t>عدم التفات به</w:t>
      </w:r>
      <w:r w:rsidRPr="00D02938">
        <w:rPr>
          <w:rFonts w:eastAsia="Times New Roman"/>
          <w:b/>
          <w:bCs/>
          <w:color w:val="2E3440"/>
          <w:sz w:val="35"/>
          <w:szCs w:val="35"/>
          <w:rtl/>
          <w:lang w:bidi="ar-SA"/>
        </w:rPr>
        <w:t xml:space="preserve"> نقش تقییدی صحیحه زراره</w:t>
      </w:r>
      <w:r w:rsidRPr="00D02938">
        <w:rPr>
          <w:rFonts w:eastAsia="Times New Roman"/>
          <w:b/>
          <w:bCs/>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مناقشه دوم این است که با خروج جمله دوم موثقه ابن بکیر از دایره ادله تأثیرگذار، ادله منحصر به صحیحه عبدالرحمن و حدیث «لا تعاد» نمی‌شود؛ بلکه دلیل چهارمی (یعنی صحیحه زراره و روایات هم‌مضمون با آن) نیز وجود دارد که در تعیین حکم مسئله نقش‌آفرین است</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حتی اگر شأن حدیث «لا تعاد» حکومت مطلق بر ادله اجزا و شرایط باشد، تمسک به اطلاق این حکومت در فرض نسیان، منوط به عدم وجود مقید است. در حالی که در مورد «نسیان نجاست به نحو موضوعی»، صحیحه ثانیه زراره و روایات هم‌مضمون آن، به عنوان مقیدِ اطلاقِ حدیث «لا تعاد» عمل می‌کنند. با وجود این مقید، نمی‌توان در تمامی فروض و اقسام نسیان حکم به صحت صادر کرد، بلکه باید فرض نسیان موضوعی نجاست را استثنا نمود</w:t>
      </w:r>
      <w:r w:rsidRPr="00D02938">
        <w:rPr>
          <w:rFonts w:eastAsia="Times New Roman"/>
          <w:color w:val="2E3440"/>
          <w:sz w:val="35"/>
          <w:szCs w:val="35"/>
          <w:lang w:bidi="ar-SA"/>
        </w:rPr>
        <w:t>.</w:t>
      </w:r>
    </w:p>
    <w:p w14:paraId="4C30C0EA" w14:textId="4E00034B"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b/>
          <w:bCs/>
          <w:color w:val="2E3440"/>
          <w:sz w:val="35"/>
          <w:szCs w:val="35"/>
          <w:rtl/>
        </w:rPr>
        <w:t>۳</w:t>
      </w:r>
      <w:r w:rsidRPr="00D02938">
        <w:rPr>
          <w:rFonts w:eastAsia="Times New Roman"/>
          <w:b/>
          <w:bCs/>
          <w:color w:val="2E3440"/>
          <w:sz w:val="35"/>
          <w:szCs w:val="35"/>
          <w:lang w:bidi="ar-SA"/>
        </w:rPr>
        <w:t xml:space="preserve">. </w:t>
      </w:r>
      <w:r w:rsidRPr="00D02938">
        <w:rPr>
          <w:rFonts w:eastAsia="Times New Roman"/>
          <w:b/>
          <w:bCs/>
          <w:color w:val="2E3440"/>
          <w:sz w:val="35"/>
          <w:szCs w:val="35"/>
          <w:rtl/>
          <w:lang w:bidi="ar-SA"/>
        </w:rPr>
        <w:t>نقض بر تفصیل مبتنی بر مبنای مرحوم نائینی</w:t>
      </w:r>
      <w:r w:rsidRPr="00D02938">
        <w:rPr>
          <w:rFonts w:eastAsia="Times New Roman"/>
          <w:b/>
          <w:bCs/>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 xml:space="preserve">مناقشه سوم ناظر به فرضی است که ایشان بر اساس مبنای مرحوم نائینی مطرح کرده‌اند. مرحوم </w:t>
      </w:r>
      <w:r w:rsidR="00AD5827">
        <w:rPr>
          <w:rFonts w:eastAsia="Times New Roman" w:hint="cs"/>
          <w:color w:val="2E3440"/>
          <w:sz w:val="35"/>
          <w:szCs w:val="35"/>
          <w:rtl/>
          <w:lang w:bidi="ar-SA"/>
        </w:rPr>
        <w:t xml:space="preserve">آقای </w:t>
      </w:r>
      <w:r w:rsidRPr="00D02938">
        <w:rPr>
          <w:rFonts w:eastAsia="Times New Roman"/>
          <w:color w:val="2E3440"/>
          <w:sz w:val="35"/>
          <w:szCs w:val="35"/>
          <w:rtl/>
          <w:lang w:bidi="ar-SA"/>
        </w:rPr>
        <w:t>خویی فرمودند: اگر حدیث «لا تعاد» مختص به نسیان باشد</w:t>
      </w:r>
      <w:bookmarkStart w:id="0" w:name="_GoBack"/>
      <w:bookmarkEnd w:id="0"/>
      <w:r w:rsidRPr="00D02938">
        <w:rPr>
          <w:rFonts w:eastAsia="Times New Roman"/>
          <w:color w:val="2E3440"/>
          <w:sz w:val="35"/>
          <w:szCs w:val="35"/>
          <w:rtl/>
          <w:lang w:bidi="ar-SA"/>
        </w:rPr>
        <w:t>، نتیجه این می‌شود که در تمامی صور نسیان حکم به صحت، و در صور جهل حکم به بطلان شود (عکس تفصیل مشهور)</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lang w:bidi="ar-SA"/>
        </w:rPr>
        <w:t>اشکال این است که حتی در فرض اختصاص حدیث «لا تعاد» به نسیان، باز هم نمی‌توان به طور مطلق در فرض نسیان حکم به صحت کرد. زیرا همان‌طور که در مناقشه دوم بیان شد، تمسک به اطلاق حدیث «لا تعاد» در فرض نسیان، متوقف بر عدم وجود مخصص و مقید است؛ در حالی که صحیحه زراره و روایات هم‌مضمون، مقید این اطلاق هستند. بنابراین، حتی بر مبنای اختصاص حدیث به نسیان، فرمایش مرحوم سید در صورت نسیان به نحو مطلق تمام نیست، زیرا «نسیان نجاست موضوعاً» به واسطه صحیحه زراره از تحت اطلاق حدیث «لا تعاد» خارج شده است</w:t>
      </w:r>
      <w:r w:rsidRPr="00D02938">
        <w:rPr>
          <w:rFonts w:eastAsia="Times New Roman"/>
          <w:color w:val="2E3440"/>
          <w:sz w:val="35"/>
          <w:szCs w:val="35"/>
          <w:lang w:bidi="ar-SA"/>
        </w:rPr>
        <w:t>.</w:t>
      </w:r>
    </w:p>
    <w:p w14:paraId="0565B87D" w14:textId="77777777" w:rsidR="00D02938" w:rsidRPr="00D02938" w:rsidRDefault="00D02938" w:rsidP="00D0293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02938">
        <w:rPr>
          <w:rFonts w:eastAsia="Times New Roman"/>
          <w:b/>
          <w:bCs/>
          <w:color w:val="D08770"/>
          <w:spacing w:val="-4"/>
          <w:sz w:val="36"/>
          <w:szCs w:val="36"/>
          <w:rtl/>
          <w:lang w:bidi="ar-SA"/>
        </w:rPr>
        <w:lastRenderedPageBreak/>
        <w:t>بررسی فرض تأسیسی بودن مفاد موثقه ابن بکیر</w:t>
      </w:r>
    </w:p>
    <w:p w14:paraId="2A6340F8" w14:textId="4C6DE368" w:rsidR="00D02938" w:rsidRPr="00D02938" w:rsidRDefault="00D02938" w:rsidP="00AD5827">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 xml:space="preserve">اما مطلبی که در تعیین حکم مسئله </w:t>
      </w:r>
      <w:r w:rsidR="00AD5827">
        <w:rPr>
          <w:rFonts w:eastAsia="Times New Roman" w:hint="cs"/>
          <w:color w:val="2E3440"/>
          <w:sz w:val="35"/>
          <w:szCs w:val="35"/>
          <w:rtl/>
          <w:lang w:bidi="ar-SA"/>
        </w:rPr>
        <w:t>به</w:t>
      </w:r>
      <w:r w:rsidRPr="00D02938">
        <w:rPr>
          <w:rFonts w:eastAsia="Times New Roman"/>
          <w:color w:val="2E3440"/>
          <w:sz w:val="35"/>
          <w:szCs w:val="35"/>
          <w:rtl/>
          <w:lang w:bidi="ar-SA"/>
        </w:rPr>
        <w:t xml:space="preserve"> مقتضای صناعت باقی می‌ماند، بررسی این فرض است که اگر قائل شویم جمله دوم موثقه ابن بکیر مفاد تأسیسی دارد — همان‌گونه که مرحوم آیت‌الله حکیم، مرحوم آیت‌الله محقق داماد و همچنین مرحوم میرزای نائینی (بنا بر نقل) بر این باورند — مقتضای جمع بین ادله چه خواهد بود؟ در این فرض، جمله دوم موثقه ابن بکیر نیز به دلیل دارا بودن مفاد تأسیسی، در عرض حدیث «لا تعاد» قرار گرفته و جزء ادله تأثیرگذار در تعیین حکم مسئله محسوب می‌شود و دیگر محکومِ حدیث «لا تعاد» نخواهد بود</w:t>
      </w:r>
      <w:r w:rsidRPr="00D02938">
        <w:rPr>
          <w:rFonts w:eastAsia="Times New Roman"/>
          <w:color w:val="2E3440"/>
          <w:sz w:val="35"/>
          <w:szCs w:val="35"/>
          <w:lang w:bidi="ar-SA"/>
        </w:rPr>
        <w:t>.</w:t>
      </w:r>
    </w:p>
    <w:p w14:paraId="3CC02E5B" w14:textId="2E8BDF85" w:rsidR="00D02938" w:rsidRPr="00D02938" w:rsidRDefault="00D02938" w:rsidP="00AD5827">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در این مقام، ما با ادله زیر مواجه هستیم</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۱</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صحیحه عبدالرحمن بن ابی‌عبدالله</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۲</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جمله دوم موثقه ابن بکیر (با فرض مفاد تأسیسی)</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۳</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حدیث «لا تعاد</w:t>
      </w:r>
      <w:r w:rsidR="00AD5827">
        <w:rPr>
          <w:rFonts w:eastAsia="Times New Roman" w:hint="cs"/>
          <w:color w:val="2E3440"/>
          <w:sz w:val="35"/>
          <w:szCs w:val="35"/>
          <w:rtl/>
          <w:lang w:bidi="ar-SA"/>
        </w:rPr>
        <w:t>»</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۴</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صحیحه ثانیه زراره</w:t>
      </w:r>
      <w:r w:rsidRPr="00D02938">
        <w:rPr>
          <w:rFonts w:eastAsia="Times New Roman"/>
          <w:color w:val="2E3440"/>
          <w:sz w:val="35"/>
          <w:szCs w:val="35"/>
          <w:lang w:bidi="ar-SA"/>
        </w:rPr>
        <w:t>.</w:t>
      </w:r>
    </w:p>
    <w:p w14:paraId="33BF1EBE" w14:textId="470AB5E0"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اکنون باید دید مقتضای صناعت در جمع بین این ادله چیست؟ (البته فعلاً دلیل چهارم، یعنی صحیحه زراره را در نظر نمی‌گیریم</w:t>
      </w:r>
      <w:r w:rsidR="00AD5827">
        <w:rPr>
          <w:rFonts w:eastAsia="Times New Roman" w:hint="cs"/>
          <w:color w:val="2E3440"/>
          <w:sz w:val="35"/>
          <w:szCs w:val="35"/>
          <w:rtl/>
          <w:lang w:bidi="ar-SA"/>
        </w:rPr>
        <w:t xml:space="preserve"> </w:t>
      </w:r>
      <w:r w:rsidRPr="00D02938">
        <w:rPr>
          <w:rFonts w:eastAsia="Times New Roman"/>
          <w:color w:val="2E3440"/>
          <w:sz w:val="35"/>
          <w:szCs w:val="35"/>
          <w:rtl/>
          <w:lang w:bidi="ar-SA"/>
        </w:rPr>
        <w:t>)</w:t>
      </w:r>
      <w:r w:rsidRPr="00D02938">
        <w:rPr>
          <w:rFonts w:eastAsia="Times New Roman"/>
          <w:color w:val="2E3440"/>
          <w:sz w:val="35"/>
          <w:szCs w:val="35"/>
          <w:lang w:bidi="ar-SA"/>
        </w:rPr>
        <w:t>.</w:t>
      </w:r>
    </w:p>
    <w:p w14:paraId="460B3604" w14:textId="77777777" w:rsidR="00D02938" w:rsidRPr="00D02938" w:rsidRDefault="00D02938" w:rsidP="00D0293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توجیه کلام مرحوم نائینی (نظریه انقلاب نسبت)</w:t>
      </w:r>
    </w:p>
    <w:p w14:paraId="37240CDF"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بحث فعلی ما در این است که بنا بر فرض تأسیسی بودن مفاد جمله دوم موثقه ابن بکیر، مقتضای جمع بین این سه دلیل (صحیحه عبدالرحمن، موثقه ابن بکیر و حدیث لا تعاد) چیست؟ توجیهی که در کلام مرحوم آیت‌الله حکیم و مرحوم آیت‌الله خویی برای مختار مرحوم نائینی بیان شده، به این شرح است</w:t>
      </w:r>
      <w:r w:rsidRPr="00D02938">
        <w:rPr>
          <w:rFonts w:eastAsia="Times New Roman"/>
          <w:color w:val="2E3440"/>
          <w:sz w:val="35"/>
          <w:szCs w:val="35"/>
          <w:lang w:bidi="ar-SA"/>
        </w:rPr>
        <w:t>:</w:t>
      </w:r>
    </w:p>
    <w:p w14:paraId="7D0EA38B"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 xml:space="preserve">در بدو امر، نسبت میان جمله دوم موثقه ابن بکیر و حدیث «لا تعاد»، نسبت «عموم و خصوص من وجه» است؛ زیرا موثقه ابن بکیر هم صورت نسیان و هم صورت جهل را شامل شده و در هر دو مورد حکم به بطلان می‌کند، اما حدیث «لا تعاد» (بنا بر مبنای مرحوم نائینی) تنها صورت نسیان را شامل می‌شود، لکن اختصاص به «ما لا یؤکل لحمه» ندارد و اخلال به سایر موانع، اجزا و شرایط را </w:t>
      </w:r>
      <w:r w:rsidRPr="00D02938">
        <w:rPr>
          <w:rFonts w:eastAsia="Times New Roman"/>
          <w:color w:val="2E3440"/>
          <w:sz w:val="35"/>
          <w:szCs w:val="35"/>
          <w:rtl/>
          <w:lang w:bidi="ar-SA"/>
        </w:rPr>
        <w:lastRenderedPageBreak/>
        <w:t>نیز در بر می‌گیرد. ماده اجتماع این دو دلیل، «نسیان ما لا یؤکل لحمه» است که در آن تعارض شکل می‌گیرد</w:t>
      </w:r>
      <w:r w:rsidRPr="00D02938">
        <w:rPr>
          <w:rFonts w:eastAsia="Times New Roman"/>
          <w:color w:val="2E3440"/>
          <w:sz w:val="35"/>
          <w:szCs w:val="35"/>
          <w:lang w:bidi="ar-SA"/>
        </w:rPr>
        <w:t>.</w:t>
      </w:r>
    </w:p>
    <w:p w14:paraId="35A51836" w14:textId="00F033F0" w:rsidR="00D02938" w:rsidRPr="00D02938" w:rsidRDefault="00D02938" w:rsidP="00AD5827">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اما از آنجا که موثقه ابن بکیر به وسیله صحیحه عبدالرحمن بن ابی‌عبدالله تخصیص می‌خورد، صورت جهل از تحت آن خارج شده و تنها صورت نسیان در آن باقی می‌ماند. پس از این تخصیص، بنا بر نظریه «انقلاب نسبت»، نسبت میان موثقه ابن بکیر و حدیث «لا تعاد»، به «عموم و خصوص مطلق» تبدیل می‌شود. در این حالت، موثقه ابن بکیر (به عنوان خاص مطلق) می‌آید و حدیث «لا تعاد» (به عنوان عام) را تقیید می‌زند و نتیجه آن، حکم به بطلان نماز در صورت نسیان اجزای ما لا یؤکل لحمه خواهد بود. این بیان، توجیهی است که برای کلام مرحوم نائینی در خصوص مقتضای صناعت ذکر شده است</w:t>
      </w:r>
      <w:r w:rsidRPr="00D02938">
        <w:rPr>
          <w:rFonts w:eastAsia="Times New Roman"/>
          <w:color w:val="2E3440"/>
          <w:sz w:val="35"/>
          <w:szCs w:val="35"/>
          <w:lang w:bidi="ar-SA"/>
        </w:rPr>
        <w:t>.</w:t>
      </w:r>
    </w:p>
    <w:p w14:paraId="199EAE41"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اما آیا واقعاً مقتضای صناعت همین است؟ مرحوم آیت‌الله حکیم و مرحوم آیت‌الله خویی متعرض این بحث شده‌اند</w:t>
      </w:r>
      <w:r w:rsidRPr="00D02938">
        <w:rPr>
          <w:rFonts w:eastAsia="Times New Roman"/>
          <w:color w:val="2E3440"/>
          <w:sz w:val="35"/>
          <w:szCs w:val="35"/>
          <w:lang w:bidi="ar-SA"/>
        </w:rPr>
        <w:t>.</w:t>
      </w:r>
    </w:p>
    <w:p w14:paraId="5F6873BD" w14:textId="6EECBA10" w:rsidR="00D02938" w:rsidRPr="00D02938" w:rsidRDefault="00D02938" w:rsidP="00045168">
      <w:pPr>
        <w:shd w:val="clear" w:color="auto" w:fill="FFFFFF"/>
        <w:spacing w:after="0" w:line="240" w:lineRule="auto"/>
        <w:jc w:val="left"/>
        <w:rPr>
          <w:rFonts w:eastAsia="Times New Roman"/>
          <w:color w:val="EBCB8B"/>
          <w:spacing w:val="-3"/>
          <w:sz w:val="35"/>
          <w:szCs w:val="35"/>
          <w:lang w:bidi="ar-SA"/>
        </w:rPr>
      </w:pPr>
      <w:r w:rsidRPr="00D02938">
        <w:rPr>
          <w:rFonts w:eastAsia="Times New Roman"/>
          <w:i/>
          <w:iCs/>
          <w:color w:val="7D8697"/>
          <w:sz w:val="35"/>
          <w:szCs w:val="35"/>
          <w:rtl/>
          <w:lang w:bidi="ar-SA"/>
        </w:rPr>
        <w:t>مستمسك العروة الوثقى</w:t>
      </w:r>
      <w:r w:rsidRPr="00D02938">
        <w:rPr>
          <w:rFonts w:eastAsia="Times New Roman"/>
          <w:color w:val="7D8697"/>
          <w:sz w:val="35"/>
          <w:szCs w:val="35"/>
          <w:rtl/>
          <w:lang w:bidi="ar-SA"/>
        </w:rPr>
        <w:t xml:space="preserve"> ج </w:t>
      </w:r>
      <w:r w:rsidRPr="00D02938">
        <w:rPr>
          <w:rFonts w:eastAsia="Times New Roman"/>
          <w:color w:val="7D8697"/>
          <w:sz w:val="35"/>
          <w:szCs w:val="35"/>
          <w:rtl/>
        </w:rPr>
        <w:t>۵</w:t>
      </w:r>
      <w:r w:rsidRPr="00D02938">
        <w:rPr>
          <w:rFonts w:eastAsia="Times New Roman"/>
          <w:color w:val="7D8697"/>
          <w:sz w:val="35"/>
          <w:szCs w:val="35"/>
          <w:rtl/>
          <w:lang w:bidi="ar-SA"/>
        </w:rPr>
        <w:t xml:space="preserve"> ص </w:t>
      </w:r>
      <w:r w:rsidR="00045168">
        <w:rPr>
          <w:rFonts w:eastAsia="Times New Roman" w:hint="cs"/>
          <w:color w:val="7D8697"/>
          <w:sz w:val="35"/>
          <w:szCs w:val="35"/>
          <w:rtl/>
        </w:rPr>
        <w:t>350-351</w:t>
      </w:r>
      <w:r w:rsidRPr="00D02938">
        <w:rPr>
          <w:rFonts w:eastAsia="Times New Roman"/>
          <w:color w:val="7D8697"/>
          <w:sz w:val="35"/>
          <w:szCs w:val="35"/>
          <w:lang w:bidi="ar-SA"/>
        </w:rPr>
        <w:br/>
      </w:r>
      <w:r w:rsidRPr="00D02938">
        <w:rPr>
          <w:rFonts w:eastAsia="Times New Roman"/>
          <w:color w:val="7D8697"/>
          <w:sz w:val="35"/>
          <w:szCs w:val="35"/>
          <w:rtl/>
          <w:lang w:bidi="ar-SA"/>
        </w:rPr>
        <w:t>نعم يمكن أن يقال : الموثق شامل للجاهل بالموضوع وبالحكم ، قاصراً ومقصراً ، وللعالم بهما الناسي والملتفت ، وللغافل ، وصحيح عبد الرحمن مختص بالغافل والجاهل بالموضوع ، فإذا بني على تخصيص الموثق به كان الباقي بعد التخصيص العالم الناسي والملتفت ، والجاهل بالحكم بقسميه ، وبينه وبين حديث : « لا تعاد » ـ بناء على اختصاصه بالناسي ـ أيضاً نسبة العموم من وجه ، فلو بني على العمل بالحديث في الناسي كان الموثق حجة فيما عداه ، وحينئذ لا وجه لدعوى أنه لو عمل بالحديث في الناسي يبقى الموثق بلا مورد. بل اللازم العمل بالحديث في الناسي ، لوضوح دلالته ، وتأكدها بالاستثناء وبذيله الذي هو كالتعليل ، ويبقى الموثق حجة فيما عداه. نعم بناء على ما هو الظاهر من عموم الحديث لكل من هو في مقام تفريغ ذمته بالناقص ، لنسيان أو غفلة أو جهل يعذر فيه بالحكم أو الموضوع ـ كما هو الظاهر في الموثق أيضاً ـ يكون الموثق أخص مطلقاً من‌ الحديث فيخصص به ، ولأجل أنه أعم مطلقاً من صحيح عبد الرحمن يخصص بالصحيح أيضاً ، ونتيجة ذلك الصحة مع عدم العلم بالموضوع والبطلان فيما عداه</w:t>
      </w:r>
      <w:r w:rsidRPr="00D02938">
        <w:rPr>
          <w:rFonts w:eastAsia="Times New Roman"/>
          <w:color w:val="7D8697"/>
          <w:sz w:val="35"/>
          <w:szCs w:val="35"/>
          <w:lang w:bidi="ar-SA"/>
        </w:rPr>
        <w:t>.</w:t>
      </w:r>
      <w:r w:rsidRPr="00D02938">
        <w:rPr>
          <w:rFonts w:eastAsia="Times New Roman"/>
          <w:color w:val="7D8697"/>
          <w:sz w:val="35"/>
          <w:szCs w:val="35"/>
          <w:lang w:bidi="ar-SA"/>
        </w:rPr>
        <w:br/>
      </w:r>
      <w:r w:rsidRPr="00D02938">
        <w:rPr>
          <w:rFonts w:eastAsia="Times New Roman"/>
          <w:color w:val="EBCB8B"/>
          <w:spacing w:val="-3"/>
          <w:sz w:val="35"/>
          <w:szCs w:val="35"/>
          <w:rtl/>
          <w:lang w:bidi="ar-SA"/>
        </w:rPr>
        <w:t xml:space="preserve">مناقشه مرحوم آیت‌الله حکیم بر </w:t>
      </w:r>
      <w:r w:rsidR="00045168">
        <w:rPr>
          <w:rFonts w:eastAsia="Times New Roman" w:hint="cs"/>
          <w:color w:val="EBCB8B"/>
          <w:spacing w:val="-3"/>
          <w:sz w:val="35"/>
          <w:szCs w:val="35"/>
          <w:rtl/>
          <w:lang w:bidi="ar-SA"/>
        </w:rPr>
        <w:t xml:space="preserve">مختار مرحوم نائينی در مقام  </w:t>
      </w:r>
    </w:p>
    <w:p w14:paraId="452CFFF0"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 xml:space="preserve">مرحوم آیت‌الله حکیم در بررسی این فرض (تأسیسی بودن موثقه ابن بکیر) می‌فرمایند: اگر به مفاد موثقه ابن بکیر دقت کنیم، درمی‌یابیم که شامل «جاهل به </w:t>
      </w:r>
      <w:r w:rsidRPr="00D02938">
        <w:rPr>
          <w:rFonts w:eastAsia="Times New Roman"/>
          <w:color w:val="2E3440"/>
          <w:sz w:val="35"/>
          <w:szCs w:val="35"/>
          <w:rtl/>
          <w:lang w:bidi="ar-SA"/>
        </w:rPr>
        <w:lastRenderedPageBreak/>
        <w:t>موضوع»، «جاهل به حکم (قاصراً و مقصراً)» و همچنین «عالم به حکم و موضوع» (اعم از عالم ملتفت در حین عمل و عالم ناسی) می‌شود. از سوی دیگر، صحیحه عبدالرحمن بن ابی‌عبدالله شامل صورت نسیان نمی‌شود و اختصاص به «جاهل به موضوع» و «غافل» دارد</w:t>
      </w:r>
      <w:r w:rsidRPr="00D02938">
        <w:rPr>
          <w:rFonts w:eastAsia="Times New Roman"/>
          <w:color w:val="2E3440"/>
          <w:sz w:val="35"/>
          <w:szCs w:val="35"/>
          <w:lang w:bidi="ar-SA"/>
        </w:rPr>
        <w:t>.</w:t>
      </w:r>
    </w:p>
    <w:p w14:paraId="6A6371B4"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هنگامی که صحیحه عبدالرحمن، موثقه ابن بکیر را تخصیص می‌زند، آنچه تحت موثقه باقی می‌ماند عبارت است از: عالم ملتفت، ناسی، و جاهل به حکم (اعم از قصوری و تقصیری). برخلاف توجیهی که برای کلام مرحوم نائینی ذکر شد (که صحیحه عبدالرحمن را شامل مطلقِ جهل می‌دانست)، مرحوم حکیم معتقدند صحیحه عبدالرحمن منحصر در جهل به موضوع است</w:t>
      </w:r>
      <w:r w:rsidRPr="00D02938">
        <w:rPr>
          <w:rFonts w:eastAsia="Times New Roman"/>
          <w:color w:val="2E3440"/>
          <w:sz w:val="35"/>
          <w:szCs w:val="35"/>
          <w:lang w:bidi="ar-SA"/>
        </w:rPr>
        <w:t>.</w:t>
      </w:r>
    </w:p>
    <w:p w14:paraId="040DE63A"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با این بیان، پس از تخصیص موثقه ابن بکیر به وسیله صحیحه عبدالرحمن، نسبت میان موثقه و حدیث «لا تعاد» همچنان «عموم و خصوص من وجه» باقی می‌ماند و به «عموم و خصوص مطلق» منقلب نمی‌شود. حتی بنا بر مبنای مرحوم نائینی که حدیث «لا تعاد» را مختص به ناسی می‌داند، باز هم نسبت میان این دو دلیل، عموم و خصوص من وجه خواهد بود</w:t>
      </w:r>
      <w:r w:rsidRPr="00D02938">
        <w:rPr>
          <w:rFonts w:eastAsia="Times New Roman"/>
          <w:color w:val="2E3440"/>
          <w:sz w:val="35"/>
          <w:szCs w:val="35"/>
          <w:lang w:bidi="ar-SA"/>
        </w:rPr>
        <w:t>.</w:t>
      </w:r>
    </w:p>
    <w:p w14:paraId="2445FEC3" w14:textId="77777777" w:rsidR="00D02938" w:rsidRPr="00D02938" w:rsidRDefault="00D02938" w:rsidP="00D0293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حل تعارض در ماده اجتماع (عامین من وجه)</w:t>
      </w:r>
    </w:p>
    <w:p w14:paraId="2C4B4174" w14:textId="554F1D79" w:rsidR="00D02938" w:rsidRPr="00D02938" w:rsidRDefault="00D02938" w:rsidP="00332F52">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اکنون در این تعارض (عامین من وجه)، کدام دلیل باید مقدم شود؟ برخی برای تقدیم موثقه ابن بکیر بر حدیث «لا تعاد</w:t>
      </w:r>
      <w:r w:rsidR="00332F52">
        <w:rPr>
          <w:rFonts w:eastAsia="Times New Roman" w:hint="cs"/>
          <w:color w:val="2E3440"/>
          <w:sz w:val="35"/>
          <w:szCs w:val="35"/>
          <w:rtl/>
          <w:lang w:bidi="ar-SA"/>
        </w:rPr>
        <w:t>»</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به این بیان تمسک کرده‌اند که: اگر در ماده اجتماعِ این دو دلیل، حکم را به نفع حدیث «لا تعاد» صادر کنیم، برای موثقه ابن بکیر موردی باقی نمی‌ماند و اصطلاحاً «بلامورد» می‌شود. از این رو، برای جلوگیری از بلامورد شدن، موثقه کالنص در این مورد محسوب شده و حکم اخص مطلق را پیدا می‌کند و بر حدیث «لا تعاد» مقدم می‌گردد</w:t>
      </w:r>
      <w:r w:rsidRPr="00D02938">
        <w:rPr>
          <w:rFonts w:eastAsia="Times New Roman"/>
          <w:color w:val="2E3440"/>
          <w:sz w:val="35"/>
          <w:szCs w:val="35"/>
          <w:lang w:bidi="ar-SA"/>
        </w:rPr>
        <w:t>.</w:t>
      </w:r>
    </w:p>
    <w:p w14:paraId="5E1AC4F9"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اما مرحوم حکیم این استدلال را رد کرده و می‌فرمایند</w:t>
      </w:r>
      <w:r w:rsidRPr="00D02938">
        <w:rPr>
          <w:rFonts w:eastAsia="Times New Roman"/>
          <w:color w:val="2E3440"/>
          <w:sz w:val="35"/>
          <w:szCs w:val="35"/>
          <w:lang w:bidi="ar-SA"/>
        </w:rPr>
        <w:t>: </w:t>
      </w:r>
      <w:r w:rsidRPr="00D02938">
        <w:rPr>
          <w:rFonts w:eastAsia="Times New Roman"/>
          <w:color w:val="2E3440"/>
          <w:sz w:val="30"/>
          <w:szCs w:val="30"/>
          <w:bdr w:val="single" w:sz="2" w:space="2" w:color="D8DEE9" w:frame="1"/>
          <w:shd w:val="clear" w:color="auto" w:fill="ECEFF4"/>
          <w:rtl/>
          <w:lang w:bidi="ar-SA"/>
        </w:rPr>
        <w:t>لا وجه لدعوى أنه لو عُمِل بالحديث في الناسي يبقى الموثق بلا مورد</w:t>
      </w:r>
      <w:r w:rsidRPr="00D02938">
        <w:rPr>
          <w:rFonts w:eastAsia="Times New Roman"/>
          <w:color w:val="2E3440"/>
          <w:sz w:val="35"/>
          <w:szCs w:val="35"/>
          <w:lang w:bidi="ar-SA"/>
        </w:rPr>
        <w:t xml:space="preserve">. </w:t>
      </w:r>
      <w:r w:rsidRPr="00D02938">
        <w:rPr>
          <w:rFonts w:eastAsia="Times New Roman"/>
          <w:color w:val="2E3440"/>
          <w:sz w:val="35"/>
          <w:szCs w:val="35"/>
          <w:rtl/>
          <w:lang w:bidi="ar-SA"/>
        </w:rPr>
        <w:t>یعنی چنین نیست که با تقدیم حدیث «لا تعاد»، موثقه بلامورد بماند؛ بلکه نسبت همچنان عموم و خصوص من وجه است و نمی‌توان از این طریق موثقه را به منزله اخص مطلق قرار داد</w:t>
      </w:r>
      <w:r w:rsidRPr="00D02938">
        <w:rPr>
          <w:rFonts w:eastAsia="Times New Roman"/>
          <w:color w:val="2E3440"/>
          <w:sz w:val="35"/>
          <w:szCs w:val="35"/>
          <w:lang w:bidi="ar-SA"/>
        </w:rPr>
        <w:t>.</w:t>
      </w:r>
    </w:p>
    <w:p w14:paraId="44036963"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lastRenderedPageBreak/>
        <w:t>ایشان در ادامه می‌فرمایند در این ماده اجتماع، حق تقدم با حدیث «لا تعاد» است؛ زیرا دلالت این حدیث و عموم مستفاد از آن، «آکد» و اقوی است. به دلیل همین اقوائیت در دلالت، ماده اجتماع (یعنی نسیان) تحت شمول حدیث «لا تعاد» قرار می‌گیرد. مرحوم حکیم برای اثبات این اقوائیت می‌فرمایند</w:t>
      </w:r>
      <w:r w:rsidRPr="00D02938">
        <w:rPr>
          <w:rFonts w:eastAsia="Times New Roman"/>
          <w:color w:val="2E3440"/>
          <w:sz w:val="35"/>
          <w:szCs w:val="35"/>
          <w:lang w:bidi="ar-SA"/>
        </w:rPr>
        <w:t>: </w:t>
      </w:r>
      <w:r w:rsidRPr="00D02938">
        <w:rPr>
          <w:rFonts w:eastAsia="Times New Roman"/>
          <w:color w:val="2E3440"/>
          <w:sz w:val="30"/>
          <w:szCs w:val="30"/>
          <w:bdr w:val="single" w:sz="2" w:space="2" w:color="D8DEE9" w:frame="1"/>
          <w:shd w:val="clear" w:color="auto" w:fill="ECEFF4"/>
          <w:rtl/>
          <w:lang w:bidi="ar-SA"/>
        </w:rPr>
        <w:t>بل يلزم العمل بالحديث في الناسي لوضوح دلالته و تأكّدها بالاستثناء و بذيله</w:t>
      </w:r>
      <w:r w:rsidRPr="00D02938">
        <w:rPr>
          <w:rFonts w:eastAsia="Times New Roman"/>
          <w:color w:val="2E3440"/>
          <w:sz w:val="30"/>
          <w:szCs w:val="30"/>
          <w:bdr w:val="single" w:sz="2" w:space="2" w:color="D8DEE9" w:frame="1"/>
          <w:shd w:val="clear" w:color="auto" w:fill="ECEFF4"/>
          <w:lang w:bidi="ar-SA"/>
        </w:rPr>
        <w:t>...</w:t>
      </w:r>
    </w:p>
    <w:p w14:paraId="51EEC824" w14:textId="182955C5" w:rsidR="00D02938" w:rsidRPr="00D02938" w:rsidRDefault="00D02938" w:rsidP="00332F52">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اسباب تأکید عموم در حدیث «لا تعاد» عبارتند از</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۱</w:t>
      </w:r>
      <w:r w:rsidRPr="00D02938">
        <w:rPr>
          <w:rFonts w:eastAsia="Times New Roman"/>
          <w:color w:val="2E3440"/>
          <w:sz w:val="35"/>
          <w:szCs w:val="35"/>
          <w:lang w:bidi="ar-SA"/>
        </w:rPr>
        <w:t>. </w:t>
      </w:r>
      <w:r w:rsidRPr="00D02938">
        <w:rPr>
          <w:rFonts w:eastAsia="Times New Roman"/>
          <w:b/>
          <w:bCs/>
          <w:color w:val="2E3440"/>
          <w:sz w:val="35"/>
          <w:szCs w:val="35"/>
          <w:rtl/>
          <w:lang w:bidi="ar-SA"/>
        </w:rPr>
        <w:t>وجود استثنا</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عبارت </w:t>
      </w:r>
      <w:r w:rsidRPr="00D02938">
        <w:rPr>
          <w:rFonts w:eastAsia="Times New Roman"/>
          <w:color w:val="2E3440"/>
          <w:sz w:val="30"/>
          <w:szCs w:val="30"/>
          <w:bdr w:val="single" w:sz="2" w:space="2" w:color="D8DEE9" w:frame="1"/>
          <w:shd w:val="clear" w:color="auto" w:fill="ECEFF4"/>
          <w:rtl/>
          <w:lang w:bidi="ar-SA"/>
        </w:rPr>
        <w:t>لا تعاد الصلاة إلا من خمسة</w:t>
      </w:r>
      <w:r w:rsidRPr="00D02938">
        <w:rPr>
          <w:rFonts w:eastAsia="Times New Roman"/>
          <w:color w:val="2E3440"/>
          <w:sz w:val="35"/>
          <w:szCs w:val="35"/>
          <w:rtl/>
          <w:lang w:bidi="ar-SA"/>
        </w:rPr>
        <w:t xml:space="preserve">، خود موجب تأکید عموم است؛ زیرا استثنا، </w:t>
      </w:r>
      <w:r w:rsidR="00332F52">
        <w:rPr>
          <w:rFonts w:eastAsia="Times New Roman" w:hint="cs"/>
          <w:color w:val="2E3440"/>
          <w:sz w:val="35"/>
          <w:szCs w:val="35"/>
          <w:rtl/>
          <w:lang w:bidi="ar-SA"/>
        </w:rPr>
        <w:t>عموم</w:t>
      </w:r>
      <w:r w:rsidRPr="00D02938">
        <w:rPr>
          <w:rFonts w:eastAsia="Times New Roman"/>
          <w:color w:val="2E3440"/>
          <w:sz w:val="35"/>
          <w:szCs w:val="35"/>
          <w:rtl/>
          <w:lang w:bidi="ar-SA"/>
        </w:rPr>
        <w:t xml:space="preserve"> عام را مستحکم‌تر می‌کند</w:t>
      </w:r>
      <w:r w:rsidRPr="00D02938">
        <w:rPr>
          <w:rFonts w:eastAsia="Times New Roman"/>
          <w:color w:val="2E3440"/>
          <w:sz w:val="35"/>
          <w:szCs w:val="35"/>
          <w:lang w:bidi="ar-SA"/>
        </w:rPr>
        <w:t>.</w:t>
      </w:r>
      <w:r w:rsidRPr="00D02938">
        <w:rPr>
          <w:rFonts w:eastAsia="Times New Roman"/>
          <w:color w:val="2E3440"/>
          <w:sz w:val="35"/>
          <w:szCs w:val="35"/>
          <w:lang w:bidi="ar-SA"/>
        </w:rPr>
        <w:br/>
      </w:r>
      <w:r w:rsidRPr="00D02938">
        <w:rPr>
          <w:rFonts w:eastAsia="Times New Roman"/>
          <w:color w:val="2E3440"/>
          <w:sz w:val="35"/>
          <w:szCs w:val="35"/>
          <w:rtl/>
        </w:rPr>
        <w:t>۲</w:t>
      </w:r>
      <w:r w:rsidRPr="00D02938">
        <w:rPr>
          <w:rFonts w:eastAsia="Times New Roman"/>
          <w:color w:val="2E3440"/>
          <w:sz w:val="35"/>
          <w:szCs w:val="35"/>
          <w:lang w:bidi="ar-SA"/>
        </w:rPr>
        <w:t>. </w:t>
      </w:r>
      <w:r w:rsidRPr="00D02938">
        <w:rPr>
          <w:rFonts w:eastAsia="Times New Roman"/>
          <w:b/>
          <w:bCs/>
          <w:color w:val="2E3440"/>
          <w:sz w:val="35"/>
          <w:szCs w:val="35"/>
          <w:rtl/>
          <w:lang w:bidi="ar-SA"/>
        </w:rPr>
        <w:t>ذیل حدیث (به منزله تعلیل)</w:t>
      </w:r>
      <w:r w:rsidRPr="00D02938">
        <w:rPr>
          <w:rFonts w:eastAsia="Times New Roman"/>
          <w:b/>
          <w:bCs/>
          <w:color w:val="2E3440"/>
          <w:sz w:val="35"/>
          <w:szCs w:val="35"/>
          <w:lang w:bidi="ar-SA"/>
        </w:rPr>
        <w:t>:</w:t>
      </w:r>
      <w:r w:rsidRPr="00D02938">
        <w:rPr>
          <w:rFonts w:eastAsia="Times New Roman"/>
          <w:color w:val="2E3440"/>
          <w:sz w:val="35"/>
          <w:szCs w:val="35"/>
          <w:lang w:bidi="ar-SA"/>
        </w:rPr>
        <w:t> </w:t>
      </w:r>
      <w:r w:rsidRPr="00D02938">
        <w:rPr>
          <w:rFonts w:eastAsia="Times New Roman"/>
          <w:color w:val="2E3440"/>
          <w:sz w:val="35"/>
          <w:szCs w:val="35"/>
          <w:rtl/>
          <w:lang w:bidi="ar-SA"/>
        </w:rPr>
        <w:t>ذیل حدیث که می‌فرماید </w:t>
      </w:r>
      <w:r w:rsidRPr="00D02938">
        <w:rPr>
          <w:rFonts w:eastAsia="Times New Roman"/>
          <w:color w:val="2E3440"/>
          <w:sz w:val="30"/>
          <w:szCs w:val="30"/>
          <w:bdr w:val="single" w:sz="2" w:space="2" w:color="D8DEE9" w:frame="1"/>
          <w:shd w:val="clear" w:color="auto" w:fill="ECEFF4"/>
          <w:rtl/>
          <w:lang w:bidi="ar-SA"/>
        </w:rPr>
        <w:t>السنة لا تنقض الفريضة</w:t>
      </w:r>
      <w:r w:rsidRPr="00D02938">
        <w:rPr>
          <w:rFonts w:eastAsia="Times New Roman"/>
          <w:color w:val="2E3440"/>
          <w:sz w:val="35"/>
          <w:szCs w:val="35"/>
          <w:rtl/>
          <w:lang w:bidi="ar-SA"/>
        </w:rPr>
        <w:t>، هرچند لفظ صریح تعلیل را ندارد، اما مفاد آن تعلیل است و اشتمال بر این تعلیل، موجب قوت دلالت حدیث «لا تعاد» و تقدم آن می‌گردد</w:t>
      </w:r>
      <w:r w:rsidRPr="00D02938">
        <w:rPr>
          <w:rFonts w:eastAsia="Times New Roman"/>
          <w:color w:val="2E3440"/>
          <w:sz w:val="35"/>
          <w:szCs w:val="35"/>
          <w:lang w:bidi="ar-SA"/>
        </w:rPr>
        <w:t>.</w:t>
      </w:r>
    </w:p>
    <w:p w14:paraId="5080EA5D"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در نتیجه، ماده اجتماع (نسیان) به حدیث «لا تعاد» واگذار می‌شود و آنچه تحت موثقه ابن بکیر باقی می‌ماند، همان «جهل به حکم» خواهد بود</w:t>
      </w:r>
      <w:r w:rsidRPr="00D02938">
        <w:rPr>
          <w:rFonts w:eastAsia="Times New Roman"/>
          <w:color w:val="2E3440"/>
          <w:sz w:val="35"/>
          <w:szCs w:val="35"/>
          <w:lang w:bidi="ar-SA"/>
        </w:rPr>
        <w:t>.</w:t>
      </w:r>
    </w:p>
    <w:p w14:paraId="7CABD117" w14:textId="396E48E8" w:rsidR="00D02938" w:rsidRPr="00D02938" w:rsidRDefault="00D02938" w:rsidP="00FE0E4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02938">
        <w:rPr>
          <w:rFonts w:eastAsia="Times New Roman"/>
          <w:color w:val="EBCB8B"/>
          <w:spacing w:val="-3"/>
          <w:sz w:val="35"/>
          <w:szCs w:val="35"/>
          <w:rtl/>
          <w:lang w:bidi="ar-SA"/>
        </w:rPr>
        <w:t xml:space="preserve">نتیجه‌گیری نهایی بر اساس </w:t>
      </w:r>
      <w:r w:rsidR="00FE0E48">
        <w:rPr>
          <w:rFonts w:eastAsia="Times New Roman" w:hint="cs"/>
          <w:color w:val="EBCB8B"/>
          <w:spacing w:val="-3"/>
          <w:sz w:val="35"/>
          <w:szCs w:val="35"/>
          <w:rtl/>
          <w:lang w:bidi="ar-SA"/>
        </w:rPr>
        <w:t>شمول حديث لاتعاد نسبت به موارد جهل</w:t>
      </w:r>
    </w:p>
    <w:p w14:paraId="6681615B"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نتیجه بحث تا به اینجا، مبتنی بر فرض تأسیسی بودن موثقه ابن بکیر و پذیرش مبنای مرحوم نائینی (اختصاص حدیث لا تعاد به ناسی) بود. اما اگر در حدیث «لا تعاد»، قائل به شمول آن نسبت به تمامی موارد عذر (اعم از نسیان و جهل و هرگونه عدم التفات در حال عمل) بشویم، نتیجه نهایی متفاوت خواهد بود</w:t>
      </w:r>
      <w:r w:rsidRPr="00D02938">
        <w:rPr>
          <w:rFonts w:eastAsia="Times New Roman"/>
          <w:color w:val="2E3440"/>
          <w:sz w:val="35"/>
          <w:szCs w:val="35"/>
          <w:lang w:bidi="ar-SA"/>
        </w:rPr>
        <w:t>.</w:t>
      </w:r>
    </w:p>
    <w:p w14:paraId="0C80BF98" w14:textId="2362AAE6" w:rsidR="00D02938" w:rsidRPr="00D02938" w:rsidRDefault="00D02938" w:rsidP="00FE0E4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در این تقدیر، نتیجه همان چیزی می‌شود که مرحوم آیت‌الله حکیم در تعلیقه خود بر ذیل مسئله نوزدهم مرقوم فرموده‌اند: تنها در فرض «جهل به موضوع» حکم به صحت صادر می‌شود، اما در موارد «جهل به حکم»، «نسیان موضوع» و «نسیان حکم»، مطلقاً باید حکم به فساد عمل نمود</w:t>
      </w:r>
      <w:r w:rsidRPr="00D02938">
        <w:rPr>
          <w:rFonts w:eastAsia="Times New Roman"/>
          <w:color w:val="2E3440"/>
          <w:sz w:val="35"/>
          <w:szCs w:val="35"/>
          <w:lang w:bidi="ar-SA"/>
        </w:rPr>
        <w:t>.</w:t>
      </w:r>
      <w:r w:rsidR="00FE0E48">
        <w:rPr>
          <w:rFonts w:eastAsia="Times New Roman" w:hint="cs"/>
          <w:color w:val="2E3440"/>
          <w:sz w:val="35"/>
          <w:szCs w:val="35"/>
          <w:rtl/>
          <w:lang w:bidi="ar-SA"/>
        </w:rPr>
        <w:t xml:space="preserve"> وجه آن إن شاء الله در جلسه آينده بيان می شود . </w:t>
      </w:r>
    </w:p>
    <w:p w14:paraId="4242F466" w14:textId="77777777" w:rsidR="00D02938" w:rsidRPr="00D02938" w:rsidRDefault="00D02938" w:rsidP="00D02938">
      <w:pPr>
        <w:shd w:val="clear" w:color="auto" w:fill="FFFFFF"/>
        <w:spacing w:before="100" w:beforeAutospacing="1" w:after="100" w:afterAutospacing="1" w:line="240" w:lineRule="auto"/>
        <w:jc w:val="left"/>
        <w:rPr>
          <w:rFonts w:eastAsia="Times New Roman"/>
          <w:color w:val="2E3440"/>
          <w:sz w:val="35"/>
          <w:szCs w:val="35"/>
          <w:lang w:bidi="ar-SA"/>
        </w:rPr>
      </w:pPr>
      <w:r w:rsidRPr="00D02938">
        <w:rPr>
          <w:rFonts w:eastAsia="Times New Roman"/>
          <w:color w:val="2E3440"/>
          <w:sz w:val="35"/>
          <w:szCs w:val="35"/>
          <w:rtl/>
          <w:lang w:bidi="ar-SA"/>
        </w:rPr>
        <w:t>و صلی الله علی محمد و آله الطاهرین</w:t>
      </w:r>
      <w:r w:rsidRPr="00D02938">
        <w:rPr>
          <w:rFonts w:eastAsia="Times New Roman"/>
          <w:color w:val="2E3440"/>
          <w:sz w:val="35"/>
          <w:szCs w:val="35"/>
          <w:lang w:bidi="ar-SA"/>
        </w:rPr>
        <w:t>.</w:t>
      </w:r>
    </w:p>
    <w:p w14:paraId="144E10AB" w14:textId="11DB178D" w:rsidR="0013091F" w:rsidRPr="0051553B" w:rsidRDefault="0013091F" w:rsidP="00D02938">
      <w:pPr>
        <w:jc w:val="left"/>
        <w:rPr>
          <w:rtl/>
        </w:rPr>
      </w:pPr>
    </w:p>
    <w:sectPr w:rsidR="0013091F" w:rsidRPr="0051553B" w:rsidSect="005155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B1256" w14:textId="77777777" w:rsidR="005531E6" w:rsidRDefault="005531E6" w:rsidP="00292230">
      <w:r>
        <w:separator/>
      </w:r>
    </w:p>
  </w:endnote>
  <w:endnote w:type="continuationSeparator" w:id="0">
    <w:p w14:paraId="27C422A2" w14:textId="77777777" w:rsidR="005531E6" w:rsidRDefault="005531E6"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68BEF" w14:textId="77777777" w:rsidR="005531E6" w:rsidRDefault="005531E6" w:rsidP="00292230">
      <w:r>
        <w:separator/>
      </w:r>
    </w:p>
  </w:footnote>
  <w:footnote w:type="continuationSeparator" w:id="0">
    <w:p w14:paraId="39F85DE6" w14:textId="77777777" w:rsidR="005531E6" w:rsidRDefault="005531E6"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07748726"/>
      <w:docPartObj>
        <w:docPartGallery w:val="Page Numbers (Top of Page)"/>
        <w:docPartUnique/>
      </w:docPartObj>
    </w:sdtPr>
    <w:sdtEndPr>
      <w:rPr>
        <w:noProof/>
      </w:rPr>
    </w:sdtEndPr>
    <w:sdtContent>
      <w:p w14:paraId="7EF1E153" w14:textId="59BF39A1" w:rsidR="00AD5827" w:rsidRDefault="00AD5827">
        <w:pPr>
          <w:pStyle w:val="a3"/>
          <w:jc w:val="right"/>
        </w:pPr>
        <w:r>
          <w:fldChar w:fldCharType="begin"/>
        </w:r>
        <w:r>
          <w:instrText xml:space="preserve"> PAGE   \* MERGEFORMAT </w:instrText>
        </w:r>
        <w:r>
          <w:fldChar w:fldCharType="separate"/>
        </w:r>
        <w:r w:rsidR="00947930">
          <w:rPr>
            <w:noProof/>
            <w:rtl/>
          </w:rPr>
          <w:t>6</w:t>
        </w:r>
        <w:r>
          <w:rPr>
            <w:noProof/>
          </w:rPr>
          <w:fldChar w:fldCharType="end"/>
        </w:r>
      </w:p>
    </w:sdtContent>
  </w:sdt>
  <w:p w14:paraId="73D5BCF3" w14:textId="77777777" w:rsidR="00AD5827" w:rsidRDefault="00AD582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3940A5"/>
    <w:multiLevelType w:val="multilevel"/>
    <w:tmpl w:val="756C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655963"/>
    <w:multiLevelType w:val="multilevel"/>
    <w:tmpl w:val="CD46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38368A"/>
    <w:multiLevelType w:val="multilevel"/>
    <w:tmpl w:val="F9C8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642C66"/>
    <w:multiLevelType w:val="multilevel"/>
    <w:tmpl w:val="177E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9A1AC9"/>
    <w:multiLevelType w:val="multilevel"/>
    <w:tmpl w:val="A80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C04EF2"/>
    <w:multiLevelType w:val="multilevel"/>
    <w:tmpl w:val="B768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F96ECF"/>
    <w:multiLevelType w:val="multilevel"/>
    <w:tmpl w:val="A700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575431"/>
    <w:multiLevelType w:val="multilevel"/>
    <w:tmpl w:val="54FC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2C3151"/>
    <w:multiLevelType w:val="multilevel"/>
    <w:tmpl w:val="6002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664D01"/>
    <w:multiLevelType w:val="multilevel"/>
    <w:tmpl w:val="D39A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E435A6"/>
    <w:multiLevelType w:val="multilevel"/>
    <w:tmpl w:val="AEAA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057316"/>
    <w:multiLevelType w:val="multilevel"/>
    <w:tmpl w:val="CC1E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8D3496"/>
    <w:multiLevelType w:val="multilevel"/>
    <w:tmpl w:val="4028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6"/>
  </w:num>
  <w:num w:numId="4">
    <w:abstractNumId w:val="10"/>
  </w:num>
  <w:num w:numId="5">
    <w:abstractNumId w:val="5"/>
  </w:num>
  <w:num w:numId="6">
    <w:abstractNumId w:val="19"/>
  </w:num>
  <w:num w:numId="7">
    <w:abstractNumId w:val="16"/>
  </w:num>
  <w:num w:numId="8">
    <w:abstractNumId w:val="7"/>
  </w:num>
  <w:num w:numId="9">
    <w:abstractNumId w:val="30"/>
  </w:num>
  <w:num w:numId="10">
    <w:abstractNumId w:val="4"/>
  </w:num>
  <w:num w:numId="11">
    <w:abstractNumId w:val="11"/>
  </w:num>
  <w:num w:numId="12">
    <w:abstractNumId w:val="2"/>
  </w:num>
  <w:num w:numId="13">
    <w:abstractNumId w:val="0"/>
  </w:num>
  <w:num w:numId="14">
    <w:abstractNumId w:val="18"/>
  </w:num>
  <w:num w:numId="15">
    <w:abstractNumId w:val="28"/>
  </w:num>
  <w:num w:numId="16">
    <w:abstractNumId w:val="1"/>
  </w:num>
  <w:num w:numId="17">
    <w:abstractNumId w:val="21"/>
  </w:num>
  <w:num w:numId="18">
    <w:abstractNumId w:val="17"/>
  </w:num>
  <w:num w:numId="19">
    <w:abstractNumId w:val="20"/>
  </w:num>
  <w:num w:numId="20">
    <w:abstractNumId w:val="9"/>
  </w:num>
  <w:num w:numId="21">
    <w:abstractNumId w:val="3"/>
  </w:num>
  <w:num w:numId="22">
    <w:abstractNumId w:val="12"/>
  </w:num>
  <w:num w:numId="23">
    <w:abstractNumId w:val="13"/>
  </w:num>
  <w:num w:numId="24">
    <w:abstractNumId w:val="8"/>
  </w:num>
  <w:num w:numId="25">
    <w:abstractNumId w:val="14"/>
  </w:num>
  <w:num w:numId="26">
    <w:abstractNumId w:val="27"/>
  </w:num>
  <w:num w:numId="27">
    <w:abstractNumId w:val="29"/>
  </w:num>
  <w:num w:numId="28">
    <w:abstractNumId w:val="31"/>
  </w:num>
  <w:num w:numId="29">
    <w:abstractNumId w:val="25"/>
  </w:num>
  <w:num w:numId="30">
    <w:abstractNumId w:val="22"/>
  </w:num>
  <w:num w:numId="31">
    <w:abstractNumId w:val="24"/>
  </w:num>
  <w:num w:numId="32">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24811"/>
    <w:rsid w:val="00030938"/>
    <w:rsid w:val="00035306"/>
    <w:rsid w:val="00045168"/>
    <w:rsid w:val="00065C4A"/>
    <w:rsid w:val="00087F40"/>
    <w:rsid w:val="000A35DE"/>
    <w:rsid w:val="000C15C3"/>
    <w:rsid w:val="00125E8A"/>
    <w:rsid w:val="0013091F"/>
    <w:rsid w:val="00134AD5"/>
    <w:rsid w:val="00140669"/>
    <w:rsid w:val="00174F16"/>
    <w:rsid w:val="00186DAC"/>
    <w:rsid w:val="00197012"/>
    <w:rsid w:val="001A4386"/>
    <w:rsid w:val="001A74A7"/>
    <w:rsid w:val="00222691"/>
    <w:rsid w:val="00232521"/>
    <w:rsid w:val="00236017"/>
    <w:rsid w:val="00280E47"/>
    <w:rsid w:val="00290EA0"/>
    <w:rsid w:val="00292230"/>
    <w:rsid w:val="002A1BA1"/>
    <w:rsid w:val="002B206C"/>
    <w:rsid w:val="00312E07"/>
    <w:rsid w:val="00324484"/>
    <w:rsid w:val="00324AB1"/>
    <w:rsid w:val="00332F52"/>
    <w:rsid w:val="00344B9C"/>
    <w:rsid w:val="003A2F27"/>
    <w:rsid w:val="003E3F63"/>
    <w:rsid w:val="00413A7F"/>
    <w:rsid w:val="00434014"/>
    <w:rsid w:val="004375DC"/>
    <w:rsid w:val="00441FC9"/>
    <w:rsid w:val="00443216"/>
    <w:rsid w:val="00453374"/>
    <w:rsid w:val="004A0C5A"/>
    <w:rsid w:val="004C7681"/>
    <w:rsid w:val="00501346"/>
    <w:rsid w:val="0051553B"/>
    <w:rsid w:val="00515DFD"/>
    <w:rsid w:val="0054159D"/>
    <w:rsid w:val="005531E6"/>
    <w:rsid w:val="005569B4"/>
    <w:rsid w:val="00586E96"/>
    <w:rsid w:val="005B0AC4"/>
    <w:rsid w:val="005D297B"/>
    <w:rsid w:val="005D54C4"/>
    <w:rsid w:val="00600ACD"/>
    <w:rsid w:val="00635BE1"/>
    <w:rsid w:val="0066034D"/>
    <w:rsid w:val="006A37AC"/>
    <w:rsid w:val="006B49FB"/>
    <w:rsid w:val="006C4CAF"/>
    <w:rsid w:val="006E4359"/>
    <w:rsid w:val="006E6BE1"/>
    <w:rsid w:val="006F22CA"/>
    <w:rsid w:val="006F40A6"/>
    <w:rsid w:val="006F56A8"/>
    <w:rsid w:val="00712806"/>
    <w:rsid w:val="00727907"/>
    <w:rsid w:val="00740F9D"/>
    <w:rsid w:val="007465F6"/>
    <w:rsid w:val="00762B40"/>
    <w:rsid w:val="00780E6D"/>
    <w:rsid w:val="00791C57"/>
    <w:rsid w:val="007955C0"/>
    <w:rsid w:val="007A2CA4"/>
    <w:rsid w:val="007D2384"/>
    <w:rsid w:val="007F61A4"/>
    <w:rsid w:val="00803BC3"/>
    <w:rsid w:val="008111AF"/>
    <w:rsid w:val="00813D8B"/>
    <w:rsid w:val="0082184E"/>
    <w:rsid w:val="00846EA9"/>
    <w:rsid w:val="0088446C"/>
    <w:rsid w:val="008B085F"/>
    <w:rsid w:val="008C664F"/>
    <w:rsid w:val="008D12E3"/>
    <w:rsid w:val="008E482D"/>
    <w:rsid w:val="008E689B"/>
    <w:rsid w:val="008F275D"/>
    <w:rsid w:val="00910FA8"/>
    <w:rsid w:val="009149B3"/>
    <w:rsid w:val="00923326"/>
    <w:rsid w:val="0094392D"/>
    <w:rsid w:val="00947930"/>
    <w:rsid w:val="00966E34"/>
    <w:rsid w:val="00993B52"/>
    <w:rsid w:val="0099684D"/>
    <w:rsid w:val="009A04DD"/>
    <w:rsid w:val="009B1436"/>
    <w:rsid w:val="009B361E"/>
    <w:rsid w:val="009B39CC"/>
    <w:rsid w:val="009D0D81"/>
    <w:rsid w:val="009D29C5"/>
    <w:rsid w:val="00A43D7B"/>
    <w:rsid w:val="00A4780D"/>
    <w:rsid w:val="00AA5BBD"/>
    <w:rsid w:val="00AB035E"/>
    <w:rsid w:val="00AB538E"/>
    <w:rsid w:val="00AD2A5B"/>
    <w:rsid w:val="00AD5827"/>
    <w:rsid w:val="00AD7FA3"/>
    <w:rsid w:val="00B05EC7"/>
    <w:rsid w:val="00B11DDA"/>
    <w:rsid w:val="00B34C5D"/>
    <w:rsid w:val="00B76658"/>
    <w:rsid w:val="00B90CC3"/>
    <w:rsid w:val="00BA4735"/>
    <w:rsid w:val="00BB1A67"/>
    <w:rsid w:val="00BB3E70"/>
    <w:rsid w:val="00BC34BB"/>
    <w:rsid w:val="00BD3C49"/>
    <w:rsid w:val="00BF09B8"/>
    <w:rsid w:val="00BF1C7A"/>
    <w:rsid w:val="00C0362A"/>
    <w:rsid w:val="00C079DC"/>
    <w:rsid w:val="00C11303"/>
    <w:rsid w:val="00C27525"/>
    <w:rsid w:val="00C31DCC"/>
    <w:rsid w:val="00C4674B"/>
    <w:rsid w:val="00CA60CC"/>
    <w:rsid w:val="00CA69D5"/>
    <w:rsid w:val="00CB75E1"/>
    <w:rsid w:val="00CC6694"/>
    <w:rsid w:val="00CE5FE4"/>
    <w:rsid w:val="00CF27F3"/>
    <w:rsid w:val="00D011CD"/>
    <w:rsid w:val="00D02938"/>
    <w:rsid w:val="00D07653"/>
    <w:rsid w:val="00D21BD6"/>
    <w:rsid w:val="00D33ABC"/>
    <w:rsid w:val="00D544E9"/>
    <w:rsid w:val="00D71024"/>
    <w:rsid w:val="00D914D7"/>
    <w:rsid w:val="00D930E5"/>
    <w:rsid w:val="00DA1A5C"/>
    <w:rsid w:val="00DA578E"/>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990"/>
    <w:rsid w:val="00EF2E7F"/>
    <w:rsid w:val="00EF3675"/>
    <w:rsid w:val="00F16F5C"/>
    <w:rsid w:val="00F238AF"/>
    <w:rsid w:val="00F37E5C"/>
    <w:rsid w:val="00F43B0E"/>
    <w:rsid w:val="00F66EFD"/>
    <w:rsid w:val="00F757F4"/>
    <w:rsid w:val="00F822AC"/>
    <w:rsid w:val="00F86F4A"/>
    <w:rsid w:val="00F936DE"/>
    <w:rsid w:val="00FB39B6"/>
    <w:rsid w:val="00FE0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FBA1F-6B67-4C70-BE52-290B4D8B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10</Pages>
  <Words>2440</Words>
  <Characters>13911</Characters>
  <Application>Microsoft Office Word</Application>
  <DocSecurity>0</DocSecurity>
  <Lines>115</Lines>
  <Paragraphs>32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66</cp:revision>
  <dcterms:created xsi:type="dcterms:W3CDTF">2021-07-05T07:07:00Z</dcterms:created>
  <dcterms:modified xsi:type="dcterms:W3CDTF">2026-10-15T18:58:00Z</dcterms:modified>
</cp:coreProperties>
</file>