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D23B1" w14:textId="77777777" w:rsidR="00024811" w:rsidRPr="00024811" w:rsidRDefault="00024811" w:rsidP="00024811">
      <w:pPr>
        <w:shd w:val="clear" w:color="auto" w:fill="FFFFFF"/>
        <w:spacing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أعوذ بالله من الشیطان الرجیم. بسم الله الرحمن الرحیم. الحمد لله رب العالمین وصلی الله علی محمد وآله الطاهرین ولعنة الله علی أعدائهم أجمعین</w:t>
      </w:r>
      <w:r w:rsidRPr="00024811">
        <w:rPr>
          <w:rFonts w:eastAsia="Times New Roman"/>
          <w:color w:val="2E3440"/>
          <w:sz w:val="35"/>
          <w:szCs w:val="35"/>
          <w:lang w:bidi="ar-SA"/>
        </w:rPr>
        <w:t>.</w:t>
      </w:r>
    </w:p>
    <w:p w14:paraId="269F1964" w14:textId="77777777" w:rsidR="00024811" w:rsidRPr="00024811" w:rsidRDefault="00024811" w:rsidP="00024811">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024811">
        <w:rPr>
          <w:rFonts w:eastAsia="Times New Roman"/>
          <w:b/>
          <w:bCs/>
          <w:color w:val="D08770"/>
          <w:spacing w:val="-4"/>
          <w:sz w:val="36"/>
          <w:szCs w:val="36"/>
          <w:rtl/>
          <w:lang w:bidi="ar-SA"/>
        </w:rPr>
        <w:t>مقدمه: مروری بر مباحث پیشین</w:t>
      </w:r>
    </w:p>
    <w:p w14:paraId="409DCDDF"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بحث در خصوص حکم نماز در اجزای حیوان غیر مأکول اللحم (در فرض جهل یا نسیان) به اینجا منتهی شد که وجه تفصیل مرحوم میرزای نائینی میان صورت «جهل» و «نسیان» چیست؟ اما پیش از پرداختن به ادامه بحث و تبیین وجه فتوای ایشان، لازم است مطلبی را به عنوان تکمیل مباحث جلسه گذشته بیان کنیم و سپس به بررسی کلام مرحوم نائینی بپردازیم</w:t>
      </w:r>
      <w:r w:rsidRPr="00024811">
        <w:rPr>
          <w:rFonts w:eastAsia="Times New Roman"/>
          <w:color w:val="2E3440"/>
          <w:sz w:val="35"/>
          <w:szCs w:val="35"/>
          <w:lang w:bidi="ar-SA"/>
        </w:rPr>
        <w:t>.</w:t>
      </w:r>
    </w:p>
    <w:p w14:paraId="00EFB4DD"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در جلسه قبل بیان شد که منشأ اختلاف آراء و اقوال فقها در این مسئله، وجود روایات معتبری است که به دلیل تفاوت در برداشت از مفاد آن‌ها و چگونگی جمع میانشان، نتایج فقهی متفاوتی را رقم زده است. پیش‌تر به سه دلیل و روایت در این زمینه اشاره شده بود</w:t>
      </w:r>
      <w:r w:rsidRPr="00024811">
        <w:rPr>
          <w:rFonts w:eastAsia="Times New Roman"/>
          <w:color w:val="2E3440"/>
          <w:sz w:val="35"/>
          <w:szCs w:val="35"/>
          <w:lang w:bidi="ar-SA"/>
        </w:rPr>
        <w:t>:</w:t>
      </w:r>
    </w:p>
    <w:p w14:paraId="06FA3564"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۱</w:t>
      </w:r>
      <w:r w:rsidRPr="00024811">
        <w:rPr>
          <w:rFonts w:eastAsia="Times New Roman"/>
          <w:color w:val="2E3440"/>
          <w:sz w:val="35"/>
          <w:szCs w:val="35"/>
          <w:lang w:bidi="ar-SA"/>
        </w:rPr>
        <w:t>. </w:t>
      </w:r>
      <w:r w:rsidRPr="00024811">
        <w:rPr>
          <w:rFonts w:eastAsia="Times New Roman"/>
          <w:b/>
          <w:bCs/>
          <w:color w:val="2E3440"/>
          <w:sz w:val="35"/>
          <w:szCs w:val="35"/>
          <w:rtl/>
          <w:lang w:bidi="ar-SA"/>
        </w:rPr>
        <w:t>صحیحه عبدالرحمن بن ابی‌عبدالله</w:t>
      </w:r>
      <w:r w:rsidRPr="00024811">
        <w:rPr>
          <w:rFonts w:eastAsia="Times New Roman"/>
          <w:b/>
          <w:bCs/>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 xml:space="preserve">این روایت در مورد فرض جهل، حکم به صحت نماز کرده است. محل اختلاف در این روایت آن است که آیا مراد از «جهل»، جهل به موضوع و حکم (هر دو) است یا منحصراً جهل به موضوع را شامل می‌شود؟ این اختلاف مستقیماً در نتیجه فقهی مسئله </w:t>
      </w:r>
      <w:r w:rsidRPr="00024811">
        <w:rPr>
          <w:rFonts w:eastAsia="Times New Roman"/>
          <w:color w:val="2E3440"/>
          <w:sz w:val="35"/>
          <w:szCs w:val="35"/>
          <w:rtl/>
        </w:rPr>
        <w:t>۱۹</w:t>
      </w:r>
      <w:r w:rsidRPr="00024811">
        <w:rPr>
          <w:rFonts w:eastAsia="Times New Roman"/>
          <w:color w:val="2E3440"/>
          <w:sz w:val="35"/>
          <w:szCs w:val="35"/>
          <w:rtl/>
          <w:lang w:bidi="ar-SA"/>
        </w:rPr>
        <w:t xml:space="preserve"> تأثیرگذار است</w:t>
      </w:r>
      <w:r w:rsidRPr="00024811">
        <w:rPr>
          <w:rFonts w:eastAsia="Times New Roman"/>
          <w:color w:val="2E3440"/>
          <w:sz w:val="35"/>
          <w:szCs w:val="35"/>
          <w:lang w:bidi="ar-SA"/>
        </w:rPr>
        <w:t>.</w:t>
      </w:r>
    </w:p>
    <w:p w14:paraId="47DEEC29"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۲</w:t>
      </w:r>
      <w:r w:rsidRPr="00024811">
        <w:rPr>
          <w:rFonts w:eastAsia="Times New Roman"/>
          <w:color w:val="2E3440"/>
          <w:sz w:val="35"/>
          <w:szCs w:val="35"/>
          <w:lang w:bidi="ar-SA"/>
        </w:rPr>
        <w:t>. </w:t>
      </w:r>
      <w:r w:rsidRPr="00024811">
        <w:rPr>
          <w:rFonts w:eastAsia="Times New Roman"/>
          <w:b/>
          <w:bCs/>
          <w:color w:val="2E3440"/>
          <w:sz w:val="35"/>
          <w:szCs w:val="35"/>
          <w:rtl/>
          <w:lang w:bidi="ar-SA"/>
        </w:rPr>
        <w:t>حدیث لا تعاد (صحیحه زراره)</w:t>
      </w:r>
      <w:r w:rsidRPr="00024811">
        <w:rPr>
          <w:rFonts w:eastAsia="Times New Roman"/>
          <w:b/>
          <w:bCs/>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این حدیث متضمن قاعده «لا تعاد» است و در مفاد آن دو اختلاف نظر عمده وجود دارد</w:t>
      </w:r>
      <w:r w:rsidRPr="00024811">
        <w:rPr>
          <w:rFonts w:eastAsia="Times New Roman"/>
          <w:color w:val="2E3440"/>
          <w:sz w:val="35"/>
          <w:szCs w:val="35"/>
          <w:lang w:bidi="ar-SA"/>
        </w:rPr>
        <w:t>:</w:t>
      </w:r>
    </w:p>
    <w:p w14:paraId="4E16B407" w14:textId="77777777" w:rsidR="00024811" w:rsidRPr="00024811" w:rsidRDefault="00024811" w:rsidP="00024811">
      <w:pPr>
        <w:numPr>
          <w:ilvl w:val="0"/>
          <w:numId w:val="20"/>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نخست</w:t>
      </w:r>
      <w:r w:rsidRPr="00024811">
        <w:rPr>
          <w:rFonts w:eastAsia="Times New Roman"/>
          <w:color w:val="2E3440"/>
          <w:sz w:val="35"/>
          <w:szCs w:val="35"/>
          <w:rtl/>
          <w:lang w:bidi="ar-SA"/>
        </w:rPr>
        <w:t> در دایره شمول آن است؛ آیا این قاعده صرفاً شامل صورت نسیان می‌شود، یا علاوه بر آن، جهل قصوری و حتی در برخی موارد، جهل تقصیری را نیز در بر می‌گیرد؟</w:t>
      </w:r>
    </w:p>
    <w:p w14:paraId="58054B81" w14:textId="77777777" w:rsidR="00024811" w:rsidRPr="00024811" w:rsidRDefault="00024811" w:rsidP="00024811">
      <w:pPr>
        <w:numPr>
          <w:ilvl w:val="0"/>
          <w:numId w:val="20"/>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دوم</w:t>
      </w:r>
      <w:r w:rsidRPr="00024811">
        <w:rPr>
          <w:rFonts w:eastAsia="Times New Roman"/>
          <w:color w:val="2E3440"/>
          <w:sz w:val="35"/>
          <w:szCs w:val="35"/>
          <w:rtl/>
          <w:lang w:bidi="ar-SA"/>
        </w:rPr>
        <w:t> در تفسیر واژه </w:t>
      </w:r>
      <w:r w:rsidRPr="00024811">
        <w:rPr>
          <w:rFonts w:eastAsia="Times New Roman"/>
          <w:color w:val="2E3440"/>
          <w:sz w:val="30"/>
          <w:szCs w:val="30"/>
          <w:bdr w:val="single" w:sz="2" w:space="2" w:color="D8DEE9" w:frame="1"/>
          <w:shd w:val="clear" w:color="auto" w:fill="ECEFF4"/>
          <w:rtl/>
          <w:lang w:bidi="ar-SA"/>
        </w:rPr>
        <w:t>الطهور</w:t>
      </w:r>
      <w:r w:rsidRPr="00024811">
        <w:rPr>
          <w:rFonts w:eastAsia="Times New Roman"/>
          <w:color w:val="2E3440"/>
          <w:sz w:val="35"/>
          <w:szCs w:val="35"/>
          <w:rtl/>
          <w:lang w:bidi="ar-SA"/>
        </w:rPr>
        <w:t xml:space="preserve"> (به عنوان یکی از مستثنیات پنج‌گانه که اخلال به آن، حتی از روی عذر، موجب بطلان و اعاده نماز است)؛ آیا مقصود از آن، خصوص «طهارت از حدث» است (که در این صورت طهارت از خبث در </w:t>
      </w:r>
      <w:r w:rsidRPr="00024811">
        <w:rPr>
          <w:rFonts w:eastAsia="Times New Roman"/>
          <w:color w:val="2E3440"/>
          <w:sz w:val="35"/>
          <w:szCs w:val="35"/>
          <w:rtl/>
          <w:lang w:bidi="ar-SA"/>
        </w:rPr>
        <w:lastRenderedPageBreak/>
        <w:t>زمره غیر آن پنج مورد قرار می‌گیرد)، یا اعم از «طهارت از حدث و خبث» است (که در نتیجه، طهارت از خبث نیز داخل در مستثنیات پنج‌گانه خواهد بود)؟</w:t>
      </w:r>
    </w:p>
    <w:p w14:paraId="5E2E8155" w14:textId="77777777" w:rsidR="00024811" w:rsidRPr="00024811" w:rsidRDefault="00024811" w:rsidP="00024811">
      <w:pPr>
        <w:shd w:val="clear" w:color="auto" w:fill="FFFFFF"/>
        <w:spacing w:after="0" w:line="240" w:lineRule="auto"/>
        <w:jc w:val="left"/>
        <w:rPr>
          <w:rFonts w:eastAsia="Times New Roman"/>
          <w:color w:val="7D8697"/>
          <w:sz w:val="35"/>
          <w:szCs w:val="35"/>
          <w:lang w:bidi="ar-SA"/>
        </w:rPr>
      </w:pPr>
      <w:r w:rsidRPr="00024811">
        <w:rPr>
          <w:rFonts w:eastAsia="Times New Roman"/>
          <w:i/>
          <w:iCs/>
          <w:color w:val="7D8697"/>
          <w:sz w:val="35"/>
          <w:szCs w:val="35"/>
          <w:rtl/>
          <w:lang w:bidi="ar-SA"/>
        </w:rPr>
        <w:t>وسائل الشيعة</w:t>
      </w:r>
      <w:r w:rsidRPr="00024811">
        <w:rPr>
          <w:rFonts w:eastAsia="Times New Roman"/>
          <w:color w:val="7D8697"/>
          <w:sz w:val="35"/>
          <w:szCs w:val="35"/>
          <w:rtl/>
          <w:lang w:bidi="ar-SA"/>
        </w:rPr>
        <w:t>؛ ج</w:t>
      </w:r>
      <w:r w:rsidRPr="00024811">
        <w:rPr>
          <w:rFonts w:ascii="Arial" w:eastAsia="Times New Roman" w:hAnsi="Arial" w:cs="Arial" w:hint="cs"/>
          <w:color w:val="7D8697"/>
          <w:sz w:val="35"/>
          <w:szCs w:val="35"/>
          <w:rtl/>
          <w:lang w:bidi="ar-SA"/>
        </w:rPr>
        <w:t>‏</w:t>
      </w:r>
      <w:r w:rsidRPr="00024811">
        <w:rPr>
          <w:rFonts w:eastAsia="Times New Roman"/>
          <w:color w:val="7D8697"/>
          <w:sz w:val="35"/>
          <w:szCs w:val="35"/>
          <w:rtl/>
        </w:rPr>
        <w:t>۶</w:t>
      </w:r>
      <w:r w:rsidRPr="00024811">
        <w:rPr>
          <w:rFonts w:eastAsia="Times New Roman"/>
          <w:color w:val="7D8697"/>
          <w:sz w:val="35"/>
          <w:szCs w:val="35"/>
          <w:rtl/>
          <w:lang w:bidi="ar-SA"/>
        </w:rPr>
        <w:t>؛ ص</w:t>
      </w:r>
      <w:r w:rsidRPr="00024811">
        <w:rPr>
          <w:rFonts w:eastAsia="Times New Roman"/>
          <w:color w:val="7D8697"/>
          <w:sz w:val="35"/>
          <w:szCs w:val="35"/>
          <w:rtl/>
        </w:rPr>
        <w:t>۹۱</w:t>
      </w:r>
      <w:r w:rsidRPr="00024811">
        <w:rPr>
          <w:rFonts w:eastAsia="Times New Roman"/>
          <w:color w:val="7D8697"/>
          <w:sz w:val="35"/>
          <w:szCs w:val="35"/>
          <w:lang w:bidi="ar-SA"/>
        </w:rPr>
        <w:br/>
      </w:r>
      <w:r w:rsidRPr="00024811">
        <w:rPr>
          <w:rFonts w:eastAsia="Times New Roman"/>
          <w:color w:val="2E3440"/>
          <w:sz w:val="30"/>
          <w:szCs w:val="30"/>
          <w:bdr w:val="single" w:sz="2" w:space="2" w:color="D8DEE9" w:frame="1"/>
          <w:shd w:val="clear" w:color="auto" w:fill="ECEFF4"/>
          <w:lang w:bidi="ar-SA"/>
        </w:rPr>
        <w:t xml:space="preserve">7427- 5- </w:t>
      </w:r>
      <w:r w:rsidRPr="00024811">
        <w:rPr>
          <w:rFonts w:eastAsia="Times New Roman"/>
          <w:color w:val="2E3440"/>
          <w:sz w:val="30"/>
          <w:szCs w:val="30"/>
          <w:bdr w:val="single" w:sz="2" w:space="2" w:color="D8DEE9" w:frame="1"/>
          <w:shd w:val="clear" w:color="auto" w:fill="ECEFF4"/>
          <w:rtl/>
          <w:lang w:bidi="ar-SA"/>
        </w:rPr>
        <w:t>محمد بن علي بن الحسين بإسناده عن زرارة عن أبي جعفر ع أنه قال: لا تعاد الصلاة إلا من</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خمسة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الطهور</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الوقت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القبلة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الركوع</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السجود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ثم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قال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القراءة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سنة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التشهد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سنة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تنقض</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السنة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الفريضة</w:t>
      </w:r>
      <w:r w:rsidRPr="00024811">
        <w:rPr>
          <w:rFonts w:eastAsia="Times New Roman"/>
          <w:color w:val="2E3440"/>
          <w:sz w:val="30"/>
          <w:szCs w:val="30"/>
          <w:bdr w:val="single" w:sz="2" w:space="2" w:color="D8DEE9" w:frame="1"/>
          <w:shd w:val="clear" w:color="auto" w:fill="ECEFF4"/>
          <w:lang w:bidi="ar-SA"/>
        </w:rPr>
        <w:t>.</w:t>
      </w:r>
      <w:r w:rsidRPr="00024811">
        <w:rPr>
          <w:rFonts w:eastAsia="Times New Roman"/>
          <w:color w:val="7D8697"/>
          <w:sz w:val="35"/>
          <w:szCs w:val="35"/>
          <w:lang w:bidi="ar-SA"/>
        </w:rPr>
        <w:br/>
      </w:r>
      <w:r w:rsidRPr="00024811">
        <w:rPr>
          <w:rFonts w:eastAsia="Times New Roman"/>
          <w:color w:val="2E3440"/>
          <w:sz w:val="30"/>
          <w:szCs w:val="30"/>
          <w:bdr w:val="single" w:sz="2" w:space="2" w:color="D8DEE9" w:frame="1"/>
          <w:shd w:val="clear" w:color="auto" w:fill="ECEFF4"/>
          <w:rtl/>
          <w:lang w:bidi="ar-SA"/>
        </w:rPr>
        <w:t>أقول: هذا محمول على الترك سهوا أو نسيانا أو جهلا و قد تقدم ما يدل على ذلك</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يأتي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ما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يدل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عليه</w:t>
      </w:r>
      <w:r w:rsidRPr="00024811">
        <w:rPr>
          <w:rFonts w:eastAsia="Times New Roman"/>
          <w:color w:val="2E3440"/>
          <w:sz w:val="30"/>
          <w:szCs w:val="30"/>
          <w:bdr w:val="single" w:sz="2" w:space="2" w:color="D8DEE9" w:frame="1"/>
          <w:shd w:val="clear" w:color="auto" w:fill="ECEFF4"/>
          <w:lang w:bidi="ar-SA"/>
        </w:rPr>
        <w:t>.</w:t>
      </w:r>
    </w:p>
    <w:p w14:paraId="3924822E"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۳</w:t>
      </w:r>
      <w:r w:rsidRPr="00024811">
        <w:rPr>
          <w:rFonts w:eastAsia="Times New Roman"/>
          <w:color w:val="2E3440"/>
          <w:sz w:val="35"/>
          <w:szCs w:val="35"/>
          <w:lang w:bidi="ar-SA"/>
        </w:rPr>
        <w:t>. </w:t>
      </w:r>
      <w:r w:rsidRPr="00024811">
        <w:rPr>
          <w:rFonts w:eastAsia="Times New Roman"/>
          <w:b/>
          <w:bCs/>
          <w:color w:val="2E3440"/>
          <w:sz w:val="35"/>
          <w:szCs w:val="35"/>
          <w:rtl/>
          <w:lang w:bidi="ar-SA"/>
        </w:rPr>
        <w:t>موثقه ابن‌بکیر (جمله دوم)</w:t>
      </w:r>
      <w:r w:rsidRPr="00024811">
        <w:rPr>
          <w:rFonts w:eastAsia="Times New Roman"/>
          <w:b/>
          <w:bCs/>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در این روایت بحث بر سر این است که آیا جمله دوم، صرفاً تأکید جمله اول و در زمره ادله اولیه دال بر مانعیت «ما لا یؤکل لحمه» است، یا آنکه مفاد آن تأسیسی بوده و در عرض حدیث «لا تعاد» (پس از فراغ از اثبات مانعیت به نحو کبروی)، مستقلاً متعرض بیان حکمِ اخلال به مانع شده است؟</w:t>
      </w:r>
    </w:p>
    <w:p w14:paraId="48A2F28E" w14:textId="77777777" w:rsidR="00024811" w:rsidRPr="00024811" w:rsidRDefault="00024811" w:rsidP="00024811">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024811">
        <w:rPr>
          <w:rFonts w:eastAsia="Times New Roman"/>
          <w:b/>
          <w:bCs/>
          <w:color w:val="D08770"/>
          <w:spacing w:val="-4"/>
          <w:sz w:val="36"/>
          <w:szCs w:val="36"/>
          <w:rtl/>
          <w:lang w:bidi="ar-SA"/>
        </w:rPr>
        <w:t>طایفه چهارم روایات: تفصیل میان جهل و نسیان در نجاست لباس</w:t>
      </w:r>
    </w:p>
    <w:p w14:paraId="2E40153E"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 xml:space="preserve">مطلبی که اکنون باید به عنوان تکمله به بحث افزوده شود این است که علاوه بر سه روایت مذکور، طایفه چهارمی از روایات نیز وجود دارد که در تعیین حکم نهایی مسئله </w:t>
      </w:r>
      <w:r w:rsidRPr="00024811">
        <w:rPr>
          <w:rFonts w:eastAsia="Times New Roman"/>
          <w:color w:val="2E3440"/>
          <w:sz w:val="35"/>
          <w:szCs w:val="35"/>
          <w:rtl/>
        </w:rPr>
        <w:t>۱۹ (</w:t>
      </w:r>
      <w:r w:rsidRPr="00024811">
        <w:rPr>
          <w:rFonts w:eastAsia="Times New Roman"/>
          <w:color w:val="2E3440"/>
          <w:sz w:val="35"/>
          <w:szCs w:val="35"/>
          <w:rtl/>
          <w:lang w:bidi="ar-SA"/>
        </w:rPr>
        <w:t>ولو از جهت تضییق حکم به صحت) تأثیرگذار است و نمی‌توان آن را بی‌تأثیر دانست</w:t>
      </w:r>
      <w:r w:rsidRPr="00024811">
        <w:rPr>
          <w:rFonts w:eastAsia="Times New Roman"/>
          <w:color w:val="2E3440"/>
          <w:sz w:val="35"/>
          <w:szCs w:val="35"/>
          <w:lang w:bidi="ar-SA"/>
        </w:rPr>
        <w:t>.</w:t>
      </w:r>
    </w:p>
    <w:p w14:paraId="6B7BB553"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مفاد این دسته از روایات آن است که اگر شخص با لباس نجس از روی «نسیان» نماز بخواند، نمازش باطل بوده و نیازمند اعاده است؛ اما اگر از روی «جهل» باشد، نماز صحیح است. این طایفه، شامل روایاتی است که در ابواب مختلف کتاب </w:t>
      </w:r>
      <w:r w:rsidRPr="00024811">
        <w:rPr>
          <w:rFonts w:eastAsia="Times New Roman"/>
          <w:i/>
          <w:iCs/>
          <w:color w:val="2E3440"/>
          <w:sz w:val="35"/>
          <w:szCs w:val="35"/>
          <w:rtl/>
          <w:lang w:bidi="ar-SA"/>
        </w:rPr>
        <w:t>وسائل الشيعة</w:t>
      </w:r>
      <w:r w:rsidRPr="00024811">
        <w:rPr>
          <w:rFonts w:eastAsia="Times New Roman"/>
          <w:color w:val="2E3440"/>
          <w:sz w:val="35"/>
          <w:szCs w:val="35"/>
          <w:rtl/>
          <w:lang w:bidi="ar-SA"/>
        </w:rPr>
        <w:t xml:space="preserve"> (از جمله باب </w:t>
      </w:r>
      <w:r w:rsidRPr="00024811">
        <w:rPr>
          <w:rFonts w:eastAsia="Times New Roman"/>
          <w:color w:val="2E3440"/>
          <w:sz w:val="35"/>
          <w:szCs w:val="35"/>
          <w:rtl/>
        </w:rPr>
        <w:t>۴۲</w:t>
      </w:r>
      <w:r w:rsidRPr="00024811">
        <w:rPr>
          <w:rFonts w:eastAsia="Times New Roman"/>
          <w:color w:val="2E3440"/>
          <w:sz w:val="35"/>
          <w:szCs w:val="35"/>
          <w:rtl/>
          <w:lang w:bidi="ar-SA"/>
        </w:rPr>
        <w:t xml:space="preserve"> از ابواب نجاسات) ذکر شده است</w:t>
      </w:r>
      <w:r w:rsidRPr="00024811">
        <w:rPr>
          <w:rFonts w:eastAsia="Times New Roman"/>
          <w:color w:val="2E3440"/>
          <w:sz w:val="35"/>
          <w:szCs w:val="35"/>
          <w:lang w:bidi="ar-SA"/>
        </w:rPr>
        <w:t>:</w:t>
      </w:r>
    </w:p>
    <w:p w14:paraId="03E82E23"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۴</w:t>
      </w:r>
      <w:r w:rsidRPr="00024811">
        <w:rPr>
          <w:rFonts w:eastAsia="Times New Roman"/>
          <w:color w:val="2E3440"/>
          <w:sz w:val="35"/>
          <w:szCs w:val="35"/>
          <w:lang w:bidi="ar-SA"/>
        </w:rPr>
        <w:t>. </w:t>
      </w:r>
      <w:r w:rsidRPr="00024811">
        <w:rPr>
          <w:rFonts w:eastAsia="Times New Roman"/>
          <w:b/>
          <w:bCs/>
          <w:color w:val="2E3440"/>
          <w:sz w:val="35"/>
          <w:szCs w:val="35"/>
          <w:rtl/>
          <w:lang w:bidi="ar-SA"/>
        </w:rPr>
        <w:t>صحیحه ثانیه زراره (در ادله استصحاب)</w:t>
      </w:r>
      <w:r w:rsidRPr="00024811">
        <w:rPr>
          <w:rFonts w:eastAsia="Times New Roman"/>
          <w:b/>
          <w:bCs/>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این روایت به صورت تقطیع‌شده در ابواب متعددی از </w:t>
      </w:r>
      <w:r w:rsidRPr="00024811">
        <w:rPr>
          <w:rFonts w:eastAsia="Times New Roman"/>
          <w:i/>
          <w:iCs/>
          <w:color w:val="2E3440"/>
          <w:sz w:val="35"/>
          <w:szCs w:val="35"/>
          <w:rtl/>
          <w:lang w:bidi="ar-SA"/>
        </w:rPr>
        <w:t>وسائل الشيعة</w:t>
      </w:r>
      <w:r w:rsidRPr="00024811">
        <w:rPr>
          <w:rFonts w:eastAsia="Times New Roman"/>
          <w:color w:val="2E3440"/>
          <w:sz w:val="35"/>
          <w:szCs w:val="35"/>
          <w:rtl/>
          <w:lang w:bidi="ar-SA"/>
        </w:rPr>
        <w:t xml:space="preserve"> آمده است. بخش مورد استشهاد ما در حدیث </w:t>
      </w:r>
      <w:r w:rsidRPr="00024811">
        <w:rPr>
          <w:rFonts w:eastAsia="Times New Roman"/>
          <w:color w:val="2E3440"/>
          <w:sz w:val="35"/>
          <w:szCs w:val="35"/>
          <w:rtl/>
        </w:rPr>
        <w:t>۲</w:t>
      </w:r>
      <w:r w:rsidRPr="00024811">
        <w:rPr>
          <w:rFonts w:eastAsia="Times New Roman"/>
          <w:color w:val="2E3440"/>
          <w:sz w:val="35"/>
          <w:szCs w:val="35"/>
          <w:rtl/>
          <w:lang w:bidi="ar-SA"/>
        </w:rPr>
        <w:t xml:space="preserve"> از باب </w:t>
      </w:r>
      <w:r w:rsidRPr="00024811">
        <w:rPr>
          <w:rFonts w:eastAsia="Times New Roman"/>
          <w:color w:val="2E3440"/>
          <w:sz w:val="35"/>
          <w:szCs w:val="35"/>
          <w:rtl/>
        </w:rPr>
        <w:t>۴۲</w:t>
      </w:r>
      <w:r w:rsidRPr="00024811">
        <w:rPr>
          <w:rFonts w:eastAsia="Times New Roman"/>
          <w:color w:val="2E3440"/>
          <w:sz w:val="35"/>
          <w:szCs w:val="35"/>
          <w:rtl/>
          <w:lang w:bidi="ar-SA"/>
        </w:rPr>
        <w:t xml:space="preserve"> ابواب نجاسات قرار دارد. در این </w:t>
      </w:r>
      <w:r w:rsidRPr="00024811">
        <w:rPr>
          <w:rFonts w:eastAsia="Times New Roman"/>
          <w:color w:val="2E3440"/>
          <w:sz w:val="35"/>
          <w:szCs w:val="35"/>
          <w:rtl/>
          <w:lang w:bidi="ar-SA"/>
        </w:rPr>
        <w:lastRenderedPageBreak/>
        <w:t>صحیحه، زراره از امام (علیه‌السلام) می‌پرسد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0"/>
          <w:szCs w:val="30"/>
          <w:bdr w:val="single" w:sz="2" w:space="2" w:color="D8DEE9" w:frame="1"/>
          <w:shd w:val="clear" w:color="auto" w:fill="ECEFF4"/>
          <w:rtl/>
          <w:lang w:bidi="ar-SA"/>
        </w:rPr>
        <w:t>قلت أصاب ثوبي دم رعاف أو غيره أو شيء من مني فعلمت أثره إلى أن أصيب له الماء فأصبت</w:t>
      </w:r>
      <w:r w:rsidRPr="00024811">
        <w:rPr>
          <w:rFonts w:eastAsia="Times New Roman"/>
          <w:color w:val="2E3440"/>
          <w:sz w:val="30"/>
          <w:szCs w:val="30"/>
          <w:bdr w:val="single" w:sz="2" w:space="2" w:color="D8DEE9" w:frame="1"/>
          <w:shd w:val="clear" w:color="auto" w:fill="ECEFF4"/>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مفاد سؤال این است که: خونی یا نجاست دیگری به لباسم اصابت کرد و آن را نشانه گذاشتم تا پس از یافتن آب، تطهیر کنم. پس از دسترسی به آب و فرا رسیدن وقت نماز، فراموش کردم که لباس نجس را بشویم و با همان لباس نماز خواندم؛ حکم این نماز چیست؟</w:t>
      </w:r>
      <w:r w:rsidRPr="00024811">
        <w:rPr>
          <w:rFonts w:eastAsia="Times New Roman"/>
          <w:color w:val="2E3440"/>
          <w:sz w:val="35"/>
          <w:szCs w:val="35"/>
          <w:lang w:bidi="ar-SA"/>
        </w:rPr>
        <w:br/>
      </w:r>
      <w:r w:rsidRPr="00024811">
        <w:rPr>
          <w:rFonts w:eastAsia="Times New Roman"/>
          <w:color w:val="2E3440"/>
          <w:sz w:val="35"/>
          <w:szCs w:val="35"/>
          <w:rtl/>
          <w:lang w:bidi="ar-SA"/>
        </w:rPr>
        <w:t>امام (علیه‌السلام) در پاسخ می‌فرمایند</w:t>
      </w:r>
      <w:r w:rsidRPr="00024811">
        <w:rPr>
          <w:rFonts w:eastAsia="Times New Roman"/>
          <w:color w:val="2E3440"/>
          <w:sz w:val="35"/>
          <w:szCs w:val="35"/>
          <w:lang w:bidi="ar-SA"/>
        </w:rPr>
        <w:t>: </w:t>
      </w:r>
      <w:r w:rsidRPr="00024811">
        <w:rPr>
          <w:rFonts w:eastAsia="Times New Roman"/>
          <w:color w:val="2E3440"/>
          <w:sz w:val="30"/>
          <w:szCs w:val="30"/>
          <w:bdr w:val="single" w:sz="2" w:space="2" w:color="D8DEE9" w:frame="1"/>
          <w:shd w:val="clear" w:color="auto" w:fill="ECEFF4"/>
          <w:rtl/>
          <w:lang w:bidi="ar-SA"/>
        </w:rPr>
        <w:t>تعيد الصلاة و تغسله</w:t>
      </w:r>
      <w:r w:rsidRPr="00024811">
        <w:rPr>
          <w:rFonts w:eastAsia="Times New Roman"/>
          <w:color w:val="2E3440"/>
          <w:sz w:val="35"/>
          <w:szCs w:val="35"/>
          <w:rtl/>
          <w:lang w:bidi="ar-SA"/>
        </w:rPr>
        <w:t> (باید نماز را اعاده کنی و لباس را بشویی). دلالت این صحیحه بر وجوب اعاده در فرض نسیان، تام و بدون اشکال است</w:t>
      </w:r>
      <w:r w:rsidRPr="00024811">
        <w:rPr>
          <w:rFonts w:eastAsia="Times New Roman"/>
          <w:color w:val="2E3440"/>
          <w:sz w:val="35"/>
          <w:szCs w:val="35"/>
          <w:lang w:bidi="ar-SA"/>
        </w:rPr>
        <w:t>.</w:t>
      </w:r>
    </w:p>
    <w:p w14:paraId="7D3EA74A" w14:textId="77777777" w:rsidR="00024811" w:rsidRPr="00024811" w:rsidRDefault="00024811" w:rsidP="00024811">
      <w:pPr>
        <w:shd w:val="clear" w:color="auto" w:fill="FFFFFF"/>
        <w:spacing w:after="0" w:line="240" w:lineRule="auto"/>
        <w:jc w:val="left"/>
        <w:rPr>
          <w:rFonts w:eastAsia="Times New Roman"/>
          <w:color w:val="7D8697"/>
          <w:sz w:val="35"/>
          <w:szCs w:val="35"/>
          <w:lang w:bidi="ar-SA"/>
        </w:rPr>
      </w:pPr>
      <w:r w:rsidRPr="00024811">
        <w:rPr>
          <w:rFonts w:eastAsia="Times New Roman"/>
          <w:i/>
          <w:iCs/>
          <w:color w:val="7D8697"/>
          <w:sz w:val="35"/>
          <w:szCs w:val="35"/>
          <w:rtl/>
          <w:lang w:bidi="ar-SA"/>
        </w:rPr>
        <w:t>وسائل الشيعة</w:t>
      </w:r>
      <w:r w:rsidRPr="00024811">
        <w:rPr>
          <w:rFonts w:eastAsia="Times New Roman"/>
          <w:color w:val="7D8697"/>
          <w:sz w:val="35"/>
          <w:szCs w:val="35"/>
          <w:rtl/>
          <w:lang w:bidi="ar-SA"/>
        </w:rPr>
        <w:t>؛ ج</w:t>
      </w:r>
      <w:r w:rsidRPr="00024811">
        <w:rPr>
          <w:rFonts w:ascii="Arial" w:eastAsia="Times New Roman" w:hAnsi="Arial" w:cs="Arial" w:hint="cs"/>
          <w:color w:val="7D8697"/>
          <w:sz w:val="35"/>
          <w:szCs w:val="35"/>
          <w:rtl/>
          <w:lang w:bidi="ar-SA"/>
        </w:rPr>
        <w:t>‏</w:t>
      </w:r>
      <w:r w:rsidRPr="00024811">
        <w:rPr>
          <w:rFonts w:eastAsia="Times New Roman"/>
          <w:color w:val="7D8697"/>
          <w:sz w:val="35"/>
          <w:szCs w:val="35"/>
          <w:rtl/>
        </w:rPr>
        <w:t>۳</w:t>
      </w:r>
      <w:r w:rsidRPr="00024811">
        <w:rPr>
          <w:rFonts w:eastAsia="Times New Roman"/>
          <w:color w:val="7D8697"/>
          <w:sz w:val="35"/>
          <w:szCs w:val="35"/>
          <w:rtl/>
          <w:lang w:bidi="ar-SA"/>
        </w:rPr>
        <w:t>؛ ص</w:t>
      </w:r>
      <w:r w:rsidRPr="00024811">
        <w:rPr>
          <w:rFonts w:eastAsia="Times New Roman"/>
          <w:color w:val="7D8697"/>
          <w:sz w:val="35"/>
          <w:szCs w:val="35"/>
          <w:rtl/>
        </w:rPr>
        <w:t>۴۷۹</w:t>
      </w:r>
      <w:r w:rsidRPr="00024811">
        <w:rPr>
          <w:rFonts w:eastAsia="Times New Roman"/>
          <w:color w:val="7D8697"/>
          <w:sz w:val="35"/>
          <w:szCs w:val="35"/>
          <w:lang w:bidi="ar-SA"/>
        </w:rPr>
        <w:br/>
      </w:r>
      <w:r w:rsidRPr="00024811">
        <w:rPr>
          <w:rFonts w:eastAsia="Times New Roman"/>
          <w:color w:val="2E3440"/>
          <w:sz w:val="30"/>
          <w:szCs w:val="30"/>
          <w:bdr w:val="single" w:sz="2" w:space="2" w:color="D8DEE9" w:frame="1"/>
          <w:shd w:val="clear" w:color="auto" w:fill="ECEFF4"/>
          <w:lang w:bidi="ar-SA"/>
        </w:rPr>
        <w:t xml:space="preserve">4229- 2- </w:t>
      </w:r>
      <w:r w:rsidRPr="00024811">
        <w:rPr>
          <w:rFonts w:eastAsia="Times New Roman"/>
          <w:color w:val="2E3440"/>
          <w:sz w:val="30"/>
          <w:szCs w:val="30"/>
          <w:bdr w:val="single" w:sz="2" w:space="2" w:color="D8DEE9" w:frame="1"/>
          <w:shd w:val="clear" w:color="auto" w:fill="ECEFF4"/>
          <w:rtl/>
          <w:lang w:bidi="ar-SA"/>
        </w:rPr>
        <w:t>و بإسناده عن الحسين بن سعيد عن حماد عن حريز عن زرارة قال: قلت أصاب</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ثوبي</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دم</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رعاف</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غيره</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شي</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hint="cs"/>
          <w:color w:val="2E3440"/>
          <w:sz w:val="30"/>
          <w:szCs w:val="30"/>
          <w:bdr w:val="single" w:sz="2" w:space="2" w:color="D8DEE9" w:frame="1"/>
          <w:shd w:val="clear" w:color="auto" w:fill="ECEFF4"/>
          <w:rtl/>
          <w:lang w:bidi="ar-SA"/>
        </w:rPr>
        <w:t>ء</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من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مني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فعلمت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أثره</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إلى</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أصيب</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الماء</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فأصبت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حضرت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الصلاة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نسيت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بثوبي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شيئا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صليت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ثم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إني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ذكرت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بعد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ذلك</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قال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تعيد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الصلاة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تغسله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قلت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فإني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أكن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رأيت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موضعه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علمت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أنه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أصابه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فطلبته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فلم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أقدر</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عليه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فلما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صليت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وجدته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قال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تغسله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تعيد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الحديث</w:t>
      </w:r>
      <w:r w:rsidRPr="00024811">
        <w:rPr>
          <w:rFonts w:eastAsia="Times New Roman"/>
          <w:color w:val="2E3440"/>
          <w:sz w:val="30"/>
          <w:szCs w:val="30"/>
          <w:bdr w:val="single" w:sz="2" w:space="2" w:color="D8DEE9" w:frame="1"/>
          <w:shd w:val="clear" w:color="auto" w:fill="ECEFF4"/>
          <w:lang w:bidi="ar-SA"/>
        </w:rPr>
        <w:t>.</w:t>
      </w:r>
    </w:p>
    <w:p w14:paraId="67A4B306"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۵</w:t>
      </w:r>
      <w:r w:rsidRPr="00024811">
        <w:rPr>
          <w:rFonts w:eastAsia="Times New Roman"/>
          <w:color w:val="2E3440"/>
          <w:sz w:val="35"/>
          <w:szCs w:val="35"/>
          <w:lang w:bidi="ar-SA"/>
        </w:rPr>
        <w:t>. </w:t>
      </w:r>
      <w:r w:rsidRPr="00024811">
        <w:rPr>
          <w:rFonts w:eastAsia="Times New Roman"/>
          <w:b/>
          <w:bCs/>
          <w:color w:val="2E3440"/>
          <w:sz w:val="35"/>
          <w:szCs w:val="35"/>
          <w:rtl/>
          <w:lang w:bidi="ar-SA"/>
        </w:rPr>
        <w:t>موثقه سماعه</w:t>
      </w:r>
      <w:r w:rsidRPr="00024811">
        <w:rPr>
          <w:rFonts w:eastAsia="Times New Roman"/>
          <w:b/>
          <w:bCs/>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 xml:space="preserve">در همان باب </w:t>
      </w:r>
      <w:r w:rsidRPr="00024811">
        <w:rPr>
          <w:rFonts w:eastAsia="Times New Roman"/>
          <w:color w:val="2E3440"/>
          <w:sz w:val="35"/>
          <w:szCs w:val="35"/>
          <w:rtl/>
        </w:rPr>
        <w:t>۴۲ (</w:t>
      </w:r>
      <w:r w:rsidRPr="00024811">
        <w:rPr>
          <w:rFonts w:eastAsia="Times New Roman"/>
          <w:color w:val="2E3440"/>
          <w:sz w:val="35"/>
          <w:szCs w:val="35"/>
          <w:rtl/>
          <w:lang w:bidi="ar-SA"/>
        </w:rPr>
        <w:t xml:space="preserve">حدیث </w:t>
      </w:r>
      <w:r w:rsidRPr="00024811">
        <w:rPr>
          <w:rFonts w:eastAsia="Times New Roman"/>
          <w:color w:val="2E3440"/>
          <w:sz w:val="35"/>
          <w:szCs w:val="35"/>
          <w:rtl/>
        </w:rPr>
        <w:t>۵)</w:t>
      </w:r>
      <w:r w:rsidRPr="00024811">
        <w:rPr>
          <w:rFonts w:eastAsia="Times New Roman"/>
          <w:color w:val="2E3440"/>
          <w:sz w:val="35"/>
          <w:szCs w:val="35"/>
          <w:rtl/>
          <w:lang w:bidi="ar-SA"/>
        </w:rPr>
        <w:t>، موثقه سماعه نیز همین مضمون را در بر دارد و در مورد نسیان، برخلاف مورد جهل، حکم به وجوب اعاده کرده است</w:t>
      </w:r>
      <w:r w:rsidRPr="00024811">
        <w:rPr>
          <w:rFonts w:eastAsia="Times New Roman"/>
          <w:color w:val="2E3440"/>
          <w:sz w:val="35"/>
          <w:szCs w:val="35"/>
          <w:lang w:bidi="ar-SA"/>
        </w:rPr>
        <w:t>.</w:t>
      </w:r>
    </w:p>
    <w:p w14:paraId="3474D1CF" w14:textId="77777777" w:rsidR="00024811" w:rsidRPr="00024811" w:rsidRDefault="00024811" w:rsidP="00024811">
      <w:pPr>
        <w:shd w:val="clear" w:color="auto" w:fill="FFFFFF"/>
        <w:spacing w:after="0" w:line="240" w:lineRule="auto"/>
        <w:jc w:val="left"/>
        <w:rPr>
          <w:rFonts w:eastAsia="Times New Roman"/>
          <w:color w:val="7D8697"/>
          <w:sz w:val="35"/>
          <w:szCs w:val="35"/>
          <w:lang w:bidi="ar-SA"/>
        </w:rPr>
      </w:pPr>
      <w:r w:rsidRPr="00024811">
        <w:rPr>
          <w:rFonts w:eastAsia="Times New Roman"/>
          <w:i/>
          <w:iCs/>
          <w:color w:val="7D8697"/>
          <w:sz w:val="35"/>
          <w:szCs w:val="35"/>
          <w:rtl/>
          <w:lang w:bidi="ar-SA"/>
        </w:rPr>
        <w:t>وسائل الشيعة</w:t>
      </w:r>
      <w:r w:rsidRPr="00024811">
        <w:rPr>
          <w:rFonts w:eastAsia="Times New Roman"/>
          <w:color w:val="7D8697"/>
          <w:sz w:val="35"/>
          <w:szCs w:val="35"/>
          <w:rtl/>
          <w:lang w:bidi="ar-SA"/>
        </w:rPr>
        <w:t>؛ ج</w:t>
      </w:r>
      <w:r w:rsidRPr="00024811">
        <w:rPr>
          <w:rFonts w:ascii="Arial" w:eastAsia="Times New Roman" w:hAnsi="Arial" w:cs="Arial" w:hint="cs"/>
          <w:color w:val="7D8697"/>
          <w:sz w:val="35"/>
          <w:szCs w:val="35"/>
          <w:rtl/>
          <w:lang w:bidi="ar-SA"/>
        </w:rPr>
        <w:t>‏</w:t>
      </w:r>
      <w:r w:rsidRPr="00024811">
        <w:rPr>
          <w:rFonts w:eastAsia="Times New Roman"/>
          <w:color w:val="7D8697"/>
          <w:sz w:val="35"/>
          <w:szCs w:val="35"/>
          <w:rtl/>
        </w:rPr>
        <w:t>۳</w:t>
      </w:r>
      <w:r w:rsidRPr="00024811">
        <w:rPr>
          <w:rFonts w:eastAsia="Times New Roman"/>
          <w:color w:val="7D8697"/>
          <w:sz w:val="35"/>
          <w:szCs w:val="35"/>
          <w:rtl/>
          <w:lang w:bidi="ar-SA"/>
        </w:rPr>
        <w:t>؛ ص</w:t>
      </w:r>
      <w:r w:rsidRPr="00024811">
        <w:rPr>
          <w:rFonts w:eastAsia="Times New Roman"/>
          <w:color w:val="7D8697"/>
          <w:sz w:val="35"/>
          <w:szCs w:val="35"/>
          <w:rtl/>
        </w:rPr>
        <w:t>۴۸۰</w:t>
      </w:r>
      <w:r w:rsidRPr="00024811">
        <w:rPr>
          <w:rFonts w:eastAsia="Times New Roman"/>
          <w:color w:val="7D8697"/>
          <w:sz w:val="35"/>
          <w:szCs w:val="35"/>
          <w:lang w:bidi="ar-SA"/>
        </w:rPr>
        <w:br/>
      </w:r>
      <w:r w:rsidRPr="00024811">
        <w:rPr>
          <w:rFonts w:eastAsia="Times New Roman"/>
          <w:color w:val="2E3440"/>
          <w:sz w:val="30"/>
          <w:szCs w:val="30"/>
          <w:bdr w:val="single" w:sz="2" w:space="2" w:color="D8DEE9" w:frame="1"/>
          <w:shd w:val="clear" w:color="auto" w:fill="ECEFF4"/>
          <w:lang w:bidi="ar-SA"/>
        </w:rPr>
        <w:t xml:space="preserve">4232- 5- </w:t>
      </w:r>
      <w:r w:rsidRPr="00024811">
        <w:rPr>
          <w:rFonts w:eastAsia="Times New Roman"/>
          <w:color w:val="2E3440"/>
          <w:sz w:val="30"/>
          <w:szCs w:val="30"/>
          <w:bdr w:val="single" w:sz="2" w:space="2" w:color="D8DEE9" w:frame="1"/>
          <w:shd w:val="clear" w:color="auto" w:fill="ECEFF4"/>
          <w:rtl/>
          <w:lang w:bidi="ar-SA"/>
        </w:rPr>
        <w:t>و بإسناده عن الحسين بن سعيد عن عثمان بن عيسى عن سماعة قال: سألت أبا عبد الله ع عن الرجل يرى بثوبه الدم</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فينسى</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يغسله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حتى</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يصلي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قال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يعيد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صلاته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كي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يهتم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بالشي</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hint="cs"/>
          <w:color w:val="2E3440"/>
          <w:sz w:val="30"/>
          <w:szCs w:val="30"/>
          <w:bdr w:val="single" w:sz="2" w:space="2" w:color="D8DEE9" w:frame="1"/>
          <w:shd w:val="clear" w:color="auto" w:fill="ECEFF4"/>
          <w:rtl/>
          <w:lang w:bidi="ar-SA"/>
        </w:rPr>
        <w:t>ء</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إذا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كان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في</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ثوبه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عقوبة</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لنسيانه</w:t>
      </w:r>
      <w:r w:rsidRPr="00024811">
        <w:rPr>
          <w:rFonts w:ascii="Arial" w:eastAsia="Times New Roman" w:hAnsi="Arial" w:cs="Arial" w:hint="cs"/>
          <w:color w:val="2E3440"/>
          <w:sz w:val="30"/>
          <w:szCs w:val="30"/>
          <w:bdr w:val="single" w:sz="2" w:space="2" w:color="D8DEE9" w:frame="1"/>
          <w:shd w:val="clear" w:color="auto" w:fill="ECEFF4"/>
          <w:rtl/>
          <w:lang w:bidi="ar-SA"/>
        </w:rPr>
        <w:t>‏</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قلت</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فكيف</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يصنع</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من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يعلم</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أ</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يعيد</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حين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يرفعه</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قال</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لا</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و</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لكن</w:t>
      </w:r>
      <w:r w:rsidRPr="00024811">
        <w:rPr>
          <w:rFonts w:eastAsia="Times New Roman"/>
          <w:color w:val="2E3440"/>
          <w:sz w:val="30"/>
          <w:szCs w:val="30"/>
          <w:bdr w:val="single" w:sz="2" w:space="2" w:color="D8DEE9" w:frame="1"/>
          <w:shd w:val="clear" w:color="auto" w:fill="ECEFF4"/>
          <w:rtl/>
          <w:lang w:bidi="ar-SA"/>
        </w:rPr>
        <w:t xml:space="preserve"> </w:t>
      </w:r>
      <w:r w:rsidRPr="00024811">
        <w:rPr>
          <w:rFonts w:eastAsia="Times New Roman" w:hint="cs"/>
          <w:color w:val="2E3440"/>
          <w:sz w:val="30"/>
          <w:szCs w:val="30"/>
          <w:bdr w:val="single" w:sz="2" w:space="2" w:color="D8DEE9" w:frame="1"/>
          <w:shd w:val="clear" w:color="auto" w:fill="ECEFF4"/>
          <w:rtl/>
          <w:lang w:bidi="ar-SA"/>
        </w:rPr>
        <w:t>يستأنف</w:t>
      </w:r>
      <w:r w:rsidRPr="00024811">
        <w:rPr>
          <w:rFonts w:eastAsia="Times New Roman"/>
          <w:color w:val="2E3440"/>
          <w:sz w:val="30"/>
          <w:szCs w:val="30"/>
          <w:bdr w:val="single" w:sz="2" w:space="2" w:color="D8DEE9" w:frame="1"/>
          <w:shd w:val="clear" w:color="auto" w:fill="ECEFF4"/>
          <w:lang w:bidi="ar-SA"/>
        </w:rPr>
        <w:t>.</w:t>
      </w:r>
    </w:p>
    <w:p w14:paraId="00A1C9DF"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نکته قابل توجه در این موثقه، تعلیل امام (علیه‌السلام) است که می‌فرمایند</w:t>
      </w:r>
      <w:r w:rsidRPr="00024811">
        <w:rPr>
          <w:rFonts w:eastAsia="Times New Roman"/>
          <w:color w:val="2E3440"/>
          <w:sz w:val="35"/>
          <w:szCs w:val="35"/>
          <w:lang w:bidi="ar-SA"/>
        </w:rPr>
        <w:t>: </w:t>
      </w:r>
      <w:r w:rsidRPr="00024811">
        <w:rPr>
          <w:rFonts w:eastAsia="Times New Roman"/>
          <w:color w:val="2E3440"/>
          <w:sz w:val="30"/>
          <w:szCs w:val="30"/>
          <w:bdr w:val="single" w:sz="2" w:space="2" w:color="D8DEE9" w:frame="1"/>
          <w:shd w:val="clear" w:color="auto" w:fill="ECEFF4"/>
          <w:rtl/>
          <w:lang w:bidi="ar-SA"/>
        </w:rPr>
        <w:t>عقوبة لنسيانه</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یعنی این اعاده، عقوبتی برای فراموش‌کاری اوست تا اهتمام ورزد و نسبت به نجاستِ واقع در لباس بی‌مبالات نباشد. در پایان روایت نیز راوی از فرض جهل سؤال می‌کند که امام (علیه‌السلام) می‌فرمایند در فرض جهل، اعاده لازم نیست</w:t>
      </w:r>
      <w:r w:rsidRPr="00024811">
        <w:rPr>
          <w:rFonts w:eastAsia="Times New Roman"/>
          <w:color w:val="2E3440"/>
          <w:sz w:val="35"/>
          <w:szCs w:val="35"/>
          <w:lang w:bidi="ar-SA"/>
        </w:rPr>
        <w:t>.</w:t>
      </w:r>
    </w:p>
    <w:p w14:paraId="59CA110E"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lastRenderedPageBreak/>
        <w:t xml:space="preserve">بنابراین، در مجموع چهار دسته روایت معتبر با مضامین متفاوت در اختیار داریم (صحیحه عبدالرحمن، حدیث لا تعاد، موثقه ابن‌بکیر، و روایات مفصلِ بین جهل و نسیان مانند صحیحه زراره و موثقه سماعه) که کیفیت جمع و فهم مفاد آن‌ها، نقش اساسی در تعیین حکم نهایی مسئله </w:t>
      </w:r>
      <w:r w:rsidRPr="00024811">
        <w:rPr>
          <w:rFonts w:eastAsia="Times New Roman"/>
          <w:color w:val="2E3440"/>
          <w:sz w:val="35"/>
          <w:szCs w:val="35"/>
          <w:rtl/>
        </w:rPr>
        <w:t>۱۹</w:t>
      </w:r>
      <w:r w:rsidRPr="00024811">
        <w:rPr>
          <w:rFonts w:eastAsia="Times New Roman"/>
          <w:color w:val="2E3440"/>
          <w:sz w:val="35"/>
          <w:szCs w:val="35"/>
          <w:rtl/>
          <w:lang w:bidi="ar-SA"/>
        </w:rPr>
        <w:t xml:space="preserve"> ایفا می‌کند</w:t>
      </w:r>
      <w:r w:rsidRPr="00024811">
        <w:rPr>
          <w:rFonts w:eastAsia="Times New Roman"/>
          <w:color w:val="2E3440"/>
          <w:sz w:val="35"/>
          <w:szCs w:val="35"/>
          <w:lang w:bidi="ar-SA"/>
        </w:rPr>
        <w:t>.</w:t>
      </w:r>
    </w:p>
    <w:p w14:paraId="37FD23E6" w14:textId="77777777" w:rsidR="00024811" w:rsidRPr="00024811" w:rsidRDefault="00024811" w:rsidP="00024811">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024811">
        <w:rPr>
          <w:rFonts w:eastAsia="Times New Roman"/>
          <w:b/>
          <w:bCs/>
          <w:color w:val="D08770"/>
          <w:spacing w:val="-4"/>
          <w:sz w:val="36"/>
          <w:szCs w:val="36"/>
          <w:rtl/>
          <w:lang w:bidi="ar-SA"/>
        </w:rPr>
        <w:t>تبیین وجه فتوای مرحوم میرزای نائینی در تفصیل میان جهل و نسیان</w:t>
      </w:r>
    </w:p>
    <w:p w14:paraId="0556FD62"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 xml:space="preserve">پس از تکمیل مباحث گذشته پیرامون روایات مؤثر در تعیین حکم مسئله، اکنون به بررسی وجه فتوای مرحوم میرزای نائینی در مسئله </w:t>
      </w:r>
      <w:r w:rsidRPr="00024811">
        <w:rPr>
          <w:rFonts w:eastAsia="Times New Roman"/>
          <w:color w:val="2E3440"/>
          <w:sz w:val="35"/>
          <w:szCs w:val="35"/>
          <w:rtl/>
        </w:rPr>
        <w:t>۱۹</w:t>
      </w:r>
      <w:r w:rsidRPr="00024811">
        <w:rPr>
          <w:rFonts w:eastAsia="Times New Roman"/>
          <w:color w:val="2E3440"/>
          <w:sz w:val="35"/>
          <w:szCs w:val="35"/>
          <w:rtl/>
          <w:lang w:bidi="ar-SA"/>
        </w:rPr>
        <w:t xml:space="preserve"> می‌پردازیم. ایشان میان صورت «جهل» و «نسیان» تفصیل قائل شده‌اند؛ به این نحو که در مورد جهل، حکم به صحت نماز کرده و در مورد نسیان، فتوای به بطلان داده‌اند. همان‌طور که پیش‌تر نیز اشاره شد، وجه این تفصیل در کلام بزرگانی چون مرحوم آیت‌الله حکیم در کتاب </w:t>
      </w:r>
      <w:r w:rsidRPr="00024811">
        <w:rPr>
          <w:rFonts w:eastAsia="Times New Roman"/>
          <w:i/>
          <w:iCs/>
          <w:color w:val="2E3440"/>
          <w:sz w:val="35"/>
          <w:szCs w:val="35"/>
          <w:rtl/>
          <w:lang w:bidi="ar-SA"/>
        </w:rPr>
        <w:t>مستمسک العروة الوثقی</w:t>
      </w:r>
      <w:r w:rsidRPr="00024811">
        <w:rPr>
          <w:rFonts w:eastAsia="Times New Roman"/>
          <w:color w:val="2E3440"/>
          <w:sz w:val="35"/>
          <w:szCs w:val="35"/>
          <w:rtl/>
          <w:lang w:bidi="ar-SA"/>
        </w:rPr>
        <w:t> و مرحوم آیت‌الله خویی بیان شده است</w:t>
      </w:r>
      <w:r w:rsidRPr="00024811">
        <w:rPr>
          <w:rFonts w:eastAsia="Times New Roman"/>
          <w:color w:val="2E3440"/>
          <w:sz w:val="35"/>
          <w:szCs w:val="35"/>
          <w:lang w:bidi="ar-SA"/>
        </w:rPr>
        <w:t>.</w:t>
      </w:r>
    </w:p>
    <w:p w14:paraId="5C934F0B"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rPr>
        <w:t>۱</w:t>
      </w:r>
      <w:r w:rsidRPr="00024811">
        <w:rPr>
          <w:rFonts w:eastAsia="Times New Roman"/>
          <w:color w:val="EBCB8B"/>
          <w:spacing w:val="-3"/>
          <w:sz w:val="35"/>
          <w:szCs w:val="35"/>
          <w:lang w:bidi="ar-SA"/>
        </w:rPr>
        <w:t xml:space="preserve">. </w:t>
      </w:r>
      <w:r w:rsidRPr="00024811">
        <w:rPr>
          <w:rFonts w:eastAsia="Times New Roman"/>
          <w:color w:val="EBCB8B"/>
          <w:spacing w:val="-3"/>
          <w:sz w:val="35"/>
          <w:szCs w:val="35"/>
          <w:rtl/>
          <w:lang w:bidi="ar-SA"/>
        </w:rPr>
        <w:t>وجه حکم به صحت در فرض جهل</w:t>
      </w:r>
    </w:p>
    <w:p w14:paraId="1A4C33D0"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مرحوم نائینی در موارد جهل، با استناد به صحیحه عبدالرحمن بن ابی‌عبدالله، حکم به صحت نمازِ واقع در اجزای «ما لا یؤکل لحمه» کرده‌اند. بنابراین، مستند ایشان در این بخش از فتوا، صراحت این صحیحه مبارکه است که اعاده را در فرض عدم علم، منتفی می‌داند</w:t>
      </w:r>
      <w:r w:rsidRPr="00024811">
        <w:rPr>
          <w:rFonts w:eastAsia="Times New Roman"/>
          <w:color w:val="2E3440"/>
          <w:sz w:val="35"/>
          <w:szCs w:val="35"/>
          <w:lang w:bidi="ar-SA"/>
        </w:rPr>
        <w:t>.</w:t>
      </w:r>
    </w:p>
    <w:p w14:paraId="786C6BBB"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rPr>
        <w:t>۲</w:t>
      </w:r>
      <w:r w:rsidRPr="00024811">
        <w:rPr>
          <w:rFonts w:eastAsia="Times New Roman"/>
          <w:color w:val="EBCB8B"/>
          <w:spacing w:val="-3"/>
          <w:sz w:val="35"/>
          <w:szCs w:val="35"/>
          <w:lang w:bidi="ar-SA"/>
        </w:rPr>
        <w:t xml:space="preserve">. </w:t>
      </w:r>
      <w:r w:rsidRPr="00024811">
        <w:rPr>
          <w:rFonts w:eastAsia="Times New Roman"/>
          <w:color w:val="EBCB8B"/>
          <w:spacing w:val="-3"/>
          <w:sz w:val="35"/>
          <w:szCs w:val="35"/>
          <w:rtl/>
          <w:lang w:bidi="ar-SA"/>
        </w:rPr>
        <w:t>وجه حکم به بطلان در فرض نسیان</w:t>
      </w:r>
    </w:p>
    <w:p w14:paraId="726DD579"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اما در خصوص فرض نسیان، چرا ایشان حکم به بطلان داده‌اند؟ وجه این فتوا به تحلیل جمله دوم از موثقه ابن‌بکیر بازمی‌گردد که می‌فرماید</w:t>
      </w:r>
      <w:r w:rsidRPr="00024811">
        <w:rPr>
          <w:rFonts w:eastAsia="Times New Roman"/>
          <w:color w:val="2E3440"/>
          <w:sz w:val="35"/>
          <w:szCs w:val="35"/>
          <w:lang w:bidi="ar-SA"/>
        </w:rPr>
        <w:t>: </w:t>
      </w:r>
      <w:r w:rsidRPr="00024811">
        <w:rPr>
          <w:rFonts w:eastAsia="Times New Roman"/>
          <w:color w:val="2E3440"/>
          <w:sz w:val="30"/>
          <w:szCs w:val="30"/>
          <w:bdr w:val="single" w:sz="2" w:space="2" w:color="D8DEE9" w:frame="1"/>
          <w:shd w:val="clear" w:color="auto" w:fill="ECEFF4"/>
          <w:rtl/>
          <w:lang w:bidi="ar-SA"/>
        </w:rPr>
        <w:t>لا تقبل تلک الصلاة حتى یصلی فی غیره مما أحل الله أکله</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ظاهر این جمله، «تأسیسی» است؛ بدین معنا که پس از فراغ از جعل کبرویِ مانعیت برای «ما لا یؤکل لحمه»، در مقام بیان حکمِ اخلال به این مانع است. یعنی اگر مکلف این مانع را ایجاد کند، نمازش باطل بوده و نیازمند اعاده است</w:t>
      </w:r>
      <w:r w:rsidRPr="00024811">
        <w:rPr>
          <w:rFonts w:eastAsia="Times New Roman"/>
          <w:color w:val="2E3440"/>
          <w:sz w:val="35"/>
          <w:szCs w:val="35"/>
          <w:lang w:bidi="ar-SA"/>
        </w:rPr>
        <w:t>.</w:t>
      </w:r>
    </w:p>
    <w:p w14:paraId="7AA37C90" w14:textId="77777777" w:rsidR="00024811" w:rsidRPr="00024811" w:rsidRDefault="00024811" w:rsidP="00024811">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024811">
        <w:rPr>
          <w:rFonts w:eastAsia="Times New Roman"/>
          <w:color w:val="A3BE8C"/>
          <w:spacing w:val="-2"/>
          <w:sz w:val="31"/>
          <w:szCs w:val="31"/>
          <w:rtl/>
          <w:lang w:bidi="ar-SA"/>
        </w:rPr>
        <w:lastRenderedPageBreak/>
        <w:t>تعارض موثقه ابن‌بکیر و حدیث لا تعاد</w:t>
      </w:r>
    </w:p>
    <w:p w14:paraId="6CEE9905"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با پذیرش ظهور تأسیسی برای جمله دوم موثقه ابن‌بکیر، این دلیل در عرض حدیث «لا تعاد» قرار می‌گیرد. زیرا حدیث «لا تعاد» نیز پس از فراغ از وجود اجزا، شرایط و موانع در نماز، در مقام بیان حکم اخلال به آن‌هاست (که اخلال را به دو قسمِ اخلال به مستثنیات خمس و غیر آن تقسیم می‌کند)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قرار گرفتن این دو دلیل در عرض یکدیگر، موجب بروز تعارض میان آن‌ها می‌شود؛ زیرا نسبت میان آن‌ها «عموم و خصوص من‌وجه» است. هر یک از این دو دلیل، یک ماده افتراق (که فقط خود آن دلیل شاملش می‌شود) و یک ماده اجتماع (محل تعارض) دارند</w:t>
      </w:r>
      <w:r w:rsidRPr="00024811">
        <w:rPr>
          <w:rFonts w:eastAsia="Times New Roman"/>
          <w:color w:val="2E3440"/>
          <w:sz w:val="35"/>
          <w:szCs w:val="35"/>
          <w:lang w:bidi="ar-SA"/>
        </w:rPr>
        <w:t>:</w:t>
      </w:r>
    </w:p>
    <w:p w14:paraId="187146A3" w14:textId="2AFD72BD" w:rsidR="00024811" w:rsidRPr="00024811" w:rsidRDefault="00024811" w:rsidP="009E528D">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rPr>
        <w:t>۱</w:t>
      </w:r>
      <w:r w:rsidRPr="00024811">
        <w:rPr>
          <w:rFonts w:eastAsia="Times New Roman"/>
          <w:color w:val="2E3440"/>
          <w:sz w:val="35"/>
          <w:szCs w:val="35"/>
          <w:lang w:bidi="ar-SA"/>
        </w:rPr>
        <w:t>. </w:t>
      </w:r>
      <w:r w:rsidRPr="00024811">
        <w:rPr>
          <w:rFonts w:eastAsia="Times New Roman"/>
          <w:b/>
          <w:bCs/>
          <w:color w:val="2E3440"/>
          <w:sz w:val="35"/>
          <w:szCs w:val="35"/>
          <w:rtl/>
          <w:lang w:bidi="ar-SA"/>
        </w:rPr>
        <w:t>ماده افتراق موثقه ابن‌بکیر</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وقوع نماز در اجزای ما لا یؤکل از روی «جهل». (این امر مبتنی بر مبنای مرحوم نائینی است که حدیث لا تعاد را مختص به موارد نسیان دانسته و شامل جهل نمی‌دانند)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۲</w:t>
      </w:r>
      <w:r w:rsidRPr="00024811">
        <w:rPr>
          <w:rFonts w:eastAsia="Times New Roman"/>
          <w:color w:val="2E3440"/>
          <w:sz w:val="35"/>
          <w:szCs w:val="35"/>
          <w:lang w:bidi="ar-SA"/>
        </w:rPr>
        <w:t>. </w:t>
      </w:r>
      <w:r w:rsidRPr="00024811">
        <w:rPr>
          <w:rFonts w:eastAsia="Times New Roman"/>
          <w:b/>
          <w:bCs/>
          <w:color w:val="2E3440"/>
          <w:sz w:val="35"/>
          <w:szCs w:val="35"/>
          <w:rtl/>
          <w:lang w:bidi="ar-SA"/>
        </w:rPr>
        <w:t>ماده افتراق حدیث لا تعاد</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اخلال به سایر موانع، شرایط و اجزای غیر رکنی نماز (مانند تکلم، زیاده و...)</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۳</w:t>
      </w:r>
      <w:r w:rsidRPr="00024811">
        <w:rPr>
          <w:rFonts w:eastAsia="Times New Roman"/>
          <w:color w:val="2E3440"/>
          <w:sz w:val="35"/>
          <w:szCs w:val="35"/>
          <w:lang w:bidi="ar-SA"/>
        </w:rPr>
        <w:t>. </w:t>
      </w:r>
      <w:r w:rsidRPr="00024811">
        <w:rPr>
          <w:rFonts w:eastAsia="Times New Roman"/>
          <w:b/>
          <w:bCs/>
          <w:color w:val="2E3440"/>
          <w:sz w:val="35"/>
          <w:szCs w:val="35"/>
          <w:rtl/>
          <w:lang w:bidi="ar-SA"/>
        </w:rPr>
        <w:t>ماده اجتماع (محل تعارض)</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اخلال از حیث وقوع نماز در ما لا یؤکل لحمه از روی «نسیان</w:t>
      </w:r>
      <w:r w:rsidR="009E528D">
        <w:rPr>
          <w:rFonts w:eastAsia="Times New Roman" w:hint="cs"/>
          <w:color w:val="2E3440"/>
          <w:sz w:val="35"/>
          <w:szCs w:val="35"/>
          <w:rtl/>
          <w:lang w:bidi="ar-SA"/>
        </w:rPr>
        <w:t>»</w:t>
      </w:r>
      <w:r w:rsidRPr="00024811">
        <w:rPr>
          <w:rFonts w:eastAsia="Times New Roman"/>
          <w:color w:val="2E3440"/>
          <w:sz w:val="35"/>
          <w:szCs w:val="35"/>
          <w:lang w:bidi="ar-SA"/>
        </w:rPr>
        <w:t>.</w:t>
      </w:r>
    </w:p>
    <w:p w14:paraId="4CAF8B65"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در نگاه ابتدایی، در این ماده اجتماع میان دو دلیل تعارض شکل می‌گیرد. برای حل این تعارض، دو مبنای اصولی وجود دارد</w:t>
      </w:r>
      <w:r w:rsidRPr="00024811">
        <w:rPr>
          <w:rFonts w:eastAsia="Times New Roman"/>
          <w:color w:val="2E3440"/>
          <w:sz w:val="35"/>
          <w:szCs w:val="35"/>
          <w:lang w:bidi="ar-SA"/>
        </w:rPr>
        <w:t>:</w:t>
      </w:r>
    </w:p>
    <w:p w14:paraId="058373AB" w14:textId="7F1F1CB0" w:rsidR="00024811" w:rsidRPr="00024811" w:rsidRDefault="00024811" w:rsidP="009E528D">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024811">
        <w:rPr>
          <w:rFonts w:eastAsia="Times New Roman"/>
          <w:color w:val="A3BE8C"/>
          <w:spacing w:val="-2"/>
          <w:sz w:val="31"/>
          <w:szCs w:val="31"/>
          <w:rtl/>
          <w:lang w:bidi="ar-SA"/>
        </w:rPr>
        <w:t>الف) پذیرش نظریه «انقلاب نسبت» (مبنای مختار مرحوم نائینی</w:t>
      </w:r>
      <w:r w:rsidR="009E528D">
        <w:rPr>
          <w:rFonts w:eastAsia="Times New Roman" w:hint="cs"/>
          <w:color w:val="A3BE8C"/>
          <w:spacing w:val="-2"/>
          <w:sz w:val="31"/>
          <w:szCs w:val="31"/>
          <w:rtl/>
          <w:lang w:bidi="ar-SA"/>
        </w:rPr>
        <w:t>)</w:t>
      </w:r>
    </w:p>
    <w:p w14:paraId="1EF90FA9"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بر اساس این نظریه، جمله دوم موثقه ابن‌بکیر ابتدا به واسطه صحیحه عبدالرحمن بن ابی‌عبدالله تخصیص می‌خورد (زیرا صحیحه فرمود در مورد جهل، نماز صحیح است و اعاده لازم نیست). پس از این تخصیص، دایره حجیت موثقه ضیق شده و تنها شامل صورت «نسیان»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هنگامی که این موثقهِ تخصیص‌خورده را با حدیث لا تعاد (که از حیث نسیان اختصاص داشت، اما از حیث اخلال به موانع و شرایط عام بود) می‌سنجیم، نسبتِ آن‌ها از «عموم و خصوص من‌وجه» به «عموم و خصوص مطلق» منقلب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 xml:space="preserve">مقتضای جمع عرفی در عموم و خصوص مطلق آن است که دلیل خاص (موثقه </w:t>
      </w:r>
      <w:r w:rsidRPr="00024811">
        <w:rPr>
          <w:rFonts w:eastAsia="Times New Roman"/>
          <w:color w:val="2E3440"/>
          <w:sz w:val="35"/>
          <w:szCs w:val="35"/>
          <w:rtl/>
          <w:lang w:bidi="ar-SA"/>
        </w:rPr>
        <w:lastRenderedPageBreak/>
        <w:t>ابن‌بکیر)، دلیل عام (حدیث لا تعاد) را تخصیص بزند. یعنی در حالی که حدیث لا تعاد می‌گوید در صورت نسیان در غیر خمس مطلقاً اعاده لازم نیست، موثقه ابن‌بکیر می‌گوید در نسیانِ وقوع در ما لا یؤکل، اعاده لازم است. نتیجه این جمع عرفی، </w:t>
      </w:r>
      <w:r w:rsidRPr="00024811">
        <w:rPr>
          <w:rFonts w:eastAsia="Times New Roman"/>
          <w:b/>
          <w:bCs/>
          <w:color w:val="2E3440"/>
          <w:sz w:val="35"/>
          <w:szCs w:val="35"/>
          <w:rtl/>
          <w:lang w:bidi="ar-SA"/>
        </w:rPr>
        <w:t>حکم به بطلان نماز در صورت نسیان</w:t>
      </w:r>
      <w:r w:rsidRPr="00024811">
        <w:rPr>
          <w:rFonts w:eastAsia="Times New Roman"/>
          <w:color w:val="2E3440"/>
          <w:sz w:val="35"/>
          <w:szCs w:val="35"/>
          <w:rtl/>
          <w:lang w:bidi="ar-SA"/>
        </w:rPr>
        <w:t> است</w:t>
      </w:r>
      <w:r w:rsidRPr="00024811">
        <w:rPr>
          <w:rFonts w:eastAsia="Times New Roman"/>
          <w:color w:val="2E3440"/>
          <w:sz w:val="35"/>
          <w:szCs w:val="35"/>
          <w:lang w:bidi="ar-SA"/>
        </w:rPr>
        <w:t>.</w:t>
      </w:r>
    </w:p>
    <w:p w14:paraId="53DA8422" w14:textId="7DAD3C52" w:rsidR="00024811" w:rsidRPr="00024811" w:rsidRDefault="00024811" w:rsidP="009E528D">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024811">
        <w:rPr>
          <w:rFonts w:eastAsia="Times New Roman"/>
          <w:color w:val="A3BE8C"/>
          <w:spacing w:val="-2"/>
          <w:sz w:val="31"/>
          <w:szCs w:val="31"/>
          <w:rtl/>
          <w:lang w:bidi="ar-SA"/>
        </w:rPr>
        <w:t>ب) انکار نظریه «انقلاب نسبت» (مبنای مرحوم شیخ انصاری و آخوند خراسانی</w:t>
      </w:r>
      <w:r w:rsidR="009E528D">
        <w:rPr>
          <w:rFonts w:eastAsia="Times New Roman" w:hint="cs"/>
          <w:color w:val="A3BE8C"/>
          <w:spacing w:val="-2"/>
          <w:sz w:val="31"/>
          <w:szCs w:val="31"/>
          <w:rtl/>
          <w:lang w:bidi="ar-SA"/>
        </w:rPr>
        <w:t>)</w:t>
      </w:r>
    </w:p>
    <w:p w14:paraId="010BFFF8" w14:textId="59753F6F" w:rsidR="00024811" w:rsidRPr="00024811" w:rsidRDefault="00024811" w:rsidP="009E528D">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اگر نظریه انقلاب نسبت را نپذیریم، ملاک در سنجش نسبت میان ادله، «ظهورات اولیه خطابات» (با قطع نظر از تخصیصات بعدی) خواهد بود، نه مقدار حجیت آن‌ها</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بر این اساس، نسبت میان موثقه ابن‌بکیر و حدیث لا تعاد همان «عموم و خصوص من‌وجه» باقی مانده و در ماده اجتماع با یکدیگر تعارض می‌کنند. حکم چنین تعارضی، «تساقط» هر دو دلیل در محل اجتماع است. پس از تساقط، باید به «عام فوقانی» (در صورت وجود) یا اصول عملیه رجوع کرد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 xml:space="preserve">در </w:t>
      </w:r>
      <w:r w:rsidR="009E528D">
        <w:rPr>
          <w:rFonts w:eastAsia="Times New Roman" w:hint="cs"/>
          <w:color w:val="2E3440"/>
          <w:sz w:val="35"/>
          <w:szCs w:val="35"/>
          <w:rtl/>
          <w:lang w:bidi="ar-SA"/>
        </w:rPr>
        <w:t>محل</w:t>
      </w:r>
      <w:r w:rsidRPr="00024811">
        <w:rPr>
          <w:rFonts w:eastAsia="Times New Roman"/>
          <w:color w:val="2E3440"/>
          <w:sz w:val="35"/>
          <w:szCs w:val="35"/>
          <w:rtl/>
          <w:lang w:bidi="ar-SA"/>
        </w:rPr>
        <w:t xml:space="preserve"> بحث، عام فوقانی وجود دارد و آن، ادله‌ای است که دلالت بر اصل مانعیت وقوع شیء در اجزای ما لا یؤکل لحمه می‌کنند (که عمده‌ترین آن‌ها، جمله اول از موثقه ابن‌بکیر و سایر روایات مشابه است). مقتضای اطلاق این ادله اولیهِ مانعیت، آن است که تفاوتی میان عمد، جهل و نسیان وجود ندارد و وقوع در ما لا یؤکل مطلقاً مانع است. بنابراین، نتیجه رجوع به این عام فوقانی نیز </w:t>
      </w:r>
      <w:r w:rsidRPr="00024811">
        <w:rPr>
          <w:rFonts w:eastAsia="Times New Roman"/>
          <w:b/>
          <w:bCs/>
          <w:color w:val="2E3440"/>
          <w:sz w:val="35"/>
          <w:szCs w:val="35"/>
          <w:rtl/>
          <w:lang w:bidi="ar-SA"/>
        </w:rPr>
        <w:t>حکم به بطلان نماز در فرض نسیان</w:t>
      </w:r>
      <w:r w:rsidRPr="00024811">
        <w:rPr>
          <w:rFonts w:eastAsia="Times New Roman"/>
          <w:color w:val="2E3440"/>
          <w:sz w:val="35"/>
          <w:szCs w:val="35"/>
          <w:rtl/>
          <w:lang w:bidi="ar-SA"/>
        </w:rPr>
        <w:t> خواهد بود</w:t>
      </w:r>
      <w:r w:rsidRPr="00024811">
        <w:rPr>
          <w:rFonts w:eastAsia="Times New Roman"/>
          <w:color w:val="2E3440"/>
          <w:sz w:val="35"/>
          <w:szCs w:val="35"/>
          <w:lang w:bidi="ar-SA"/>
        </w:rPr>
        <w:t>.</w:t>
      </w:r>
    </w:p>
    <w:p w14:paraId="44678AFC" w14:textId="2A16144E" w:rsidR="00024811" w:rsidRPr="00024811" w:rsidRDefault="009E528D" w:rsidP="009E528D">
      <w:pPr>
        <w:shd w:val="clear" w:color="auto" w:fill="FFFFFF"/>
        <w:spacing w:before="100" w:beforeAutospacing="1" w:after="100" w:afterAutospacing="1" w:line="240" w:lineRule="auto"/>
        <w:jc w:val="left"/>
        <w:rPr>
          <w:rFonts w:eastAsia="Times New Roman"/>
          <w:color w:val="2E3440"/>
          <w:sz w:val="35"/>
          <w:szCs w:val="35"/>
          <w:lang w:bidi="ar-SA"/>
        </w:rPr>
      </w:pPr>
      <w:r>
        <w:rPr>
          <w:rFonts w:eastAsia="Times New Roman" w:hint="cs"/>
          <w:color w:val="2E3440"/>
          <w:sz w:val="35"/>
          <w:szCs w:val="35"/>
          <w:rtl/>
          <w:lang w:bidi="ar-SA"/>
        </w:rPr>
        <w:t>(</w:t>
      </w:r>
      <w:r w:rsidR="00024811" w:rsidRPr="00024811">
        <w:rPr>
          <w:rFonts w:eastAsia="Times New Roman"/>
          <w:color w:val="2E3440"/>
          <w:sz w:val="35"/>
          <w:szCs w:val="35"/>
          <w:rtl/>
          <w:lang w:bidi="ar-SA"/>
        </w:rPr>
        <w:t>نکته: منظور از عام فوقانی در اینجا، همان «دلیل محکوم» است. حدیث لا تعاد در صورت فقدان معارض، بر ادله اجزا و شرایط حاکم بود؛ اما اکنون که معارض پیدا کرده و ساقط شده است، باید به همان دلیل محکوم که اصل مانعیت را اثبات می‌کند، رجوع کرد</w:t>
      </w:r>
      <w:r>
        <w:rPr>
          <w:rFonts w:eastAsia="Times New Roman" w:hint="cs"/>
          <w:color w:val="2E3440"/>
          <w:sz w:val="35"/>
          <w:szCs w:val="35"/>
          <w:rtl/>
          <w:lang w:bidi="ar-SA"/>
        </w:rPr>
        <w:t>)</w:t>
      </w:r>
      <w:r w:rsidR="00024811" w:rsidRPr="00024811">
        <w:rPr>
          <w:rFonts w:eastAsia="Times New Roman"/>
          <w:color w:val="2E3440"/>
          <w:sz w:val="35"/>
          <w:szCs w:val="35"/>
          <w:lang w:bidi="ar-SA"/>
        </w:rPr>
        <w:t>.</w:t>
      </w:r>
    </w:p>
    <w:p w14:paraId="534BC0BC"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lang w:bidi="ar-SA"/>
        </w:rPr>
        <w:t>نقد تعبیر مرحوم آیت‌الله حکیم در کتاب </w:t>
      </w:r>
      <w:r w:rsidRPr="00024811">
        <w:rPr>
          <w:rFonts w:eastAsia="Times New Roman"/>
          <w:i/>
          <w:iCs/>
          <w:color w:val="EBCB8B"/>
          <w:spacing w:val="-3"/>
          <w:sz w:val="35"/>
          <w:szCs w:val="35"/>
          <w:rtl/>
          <w:lang w:bidi="ar-SA"/>
        </w:rPr>
        <w:t>مستمسک</w:t>
      </w:r>
    </w:p>
    <w:p w14:paraId="1C2DD3C6"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مرحوم آیت‌الله حکیم در کتاب </w:t>
      </w:r>
      <w:r w:rsidRPr="00024811">
        <w:rPr>
          <w:rFonts w:eastAsia="Times New Roman"/>
          <w:i/>
          <w:iCs/>
          <w:color w:val="2E3440"/>
          <w:sz w:val="35"/>
          <w:szCs w:val="35"/>
          <w:rtl/>
          <w:lang w:bidi="ar-SA"/>
        </w:rPr>
        <w:t>مستمسک</w:t>
      </w:r>
      <w:r w:rsidRPr="00024811">
        <w:rPr>
          <w:rFonts w:eastAsia="Times New Roman"/>
          <w:color w:val="2E3440"/>
          <w:sz w:val="35"/>
          <w:szCs w:val="35"/>
          <w:rtl/>
          <w:lang w:bidi="ar-SA"/>
        </w:rPr>
        <w:t>، در تبیین فرض دوم (انکار انقلاب نسبت) می‌فرمایند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0"/>
          <w:szCs w:val="30"/>
          <w:bdr w:val="single" w:sz="2" w:space="2" w:color="D8DEE9" w:frame="1"/>
          <w:shd w:val="clear" w:color="auto" w:fill="ECEFF4"/>
          <w:rtl/>
          <w:lang w:bidi="ar-SA"/>
        </w:rPr>
        <w:t xml:space="preserve">و لو فرض بقاء النسبة فمقتضى أصالة تساقط العامين من وجه في مورد المعارضة الرجوع إلى </w:t>
      </w:r>
      <w:r w:rsidRPr="00024811">
        <w:rPr>
          <w:rFonts w:eastAsia="Times New Roman"/>
          <w:color w:val="2E3440"/>
          <w:sz w:val="30"/>
          <w:szCs w:val="30"/>
          <w:bdr w:val="single" w:sz="2" w:space="2" w:color="D8DEE9" w:frame="1"/>
          <w:shd w:val="clear" w:color="auto" w:fill="ECEFF4"/>
          <w:rtl/>
          <w:lang w:bidi="ar-SA"/>
        </w:rPr>
        <w:lastRenderedPageBreak/>
        <w:t>أصالة الفساد لفوات المشروط بفوات شرطه</w:t>
      </w:r>
      <w:r w:rsidRPr="00024811">
        <w:rPr>
          <w:rFonts w:eastAsia="Times New Roman"/>
          <w:color w:val="2E3440"/>
          <w:sz w:val="30"/>
          <w:szCs w:val="30"/>
          <w:bdr w:val="single" w:sz="2" w:space="2" w:color="D8DEE9" w:frame="1"/>
          <w:shd w:val="clear" w:color="auto" w:fill="ECEFF4"/>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استفاده از تعبیر </w:t>
      </w:r>
      <w:r w:rsidRPr="00024811">
        <w:rPr>
          <w:rFonts w:eastAsia="Times New Roman"/>
          <w:color w:val="2E3440"/>
          <w:sz w:val="30"/>
          <w:szCs w:val="30"/>
          <w:bdr w:val="single" w:sz="2" w:space="2" w:color="D8DEE9" w:frame="1"/>
          <w:shd w:val="clear" w:color="auto" w:fill="ECEFF4"/>
          <w:rtl/>
          <w:lang w:bidi="ar-SA"/>
        </w:rPr>
        <w:t>أصالة الفساد</w:t>
      </w:r>
      <w:r w:rsidRPr="00024811">
        <w:rPr>
          <w:rFonts w:eastAsia="Times New Roman"/>
          <w:color w:val="2E3440"/>
          <w:sz w:val="35"/>
          <w:szCs w:val="35"/>
          <w:rtl/>
          <w:lang w:bidi="ar-SA"/>
        </w:rPr>
        <w:t> در این مقام، از شخصیتی چون ایشان سزاوار نبود و جای نقد دارد. ظاهر این عبارت چنین القا می‌کند که گویی «اصالة الفساد» یک اصل مستقل است که مرجع تعیین حکم در این مسئله قرار می‌گیرد. اگر چنین باشد، این پرسش مطرح می‌شود که آیا این اصل، یک اصل لفظی است (مثلاً بنای عقلا بر این است که هنگام شک در صحت و فساد، بنا را بر فساد بگذارند؟) یا یک اصل عملی است (مانند استصحاب، که در این صورت ارکان آن چگونه تمام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تعبیر دقیق و سدید در این مقام آن است که گفته شود: پس از تعارض و تساقط، به «دلیل محکوم» (ادله اولیه اثبات‌کننده مانعیت) رجوع می‌کنیم. هرچند گاهی استفاده از اصطلاحات برای انتقال سریع مطلب راهگشاست، اما در برخی موارد مانند اینجا، رهزن شده و مقصود اصلی بحث را مخدوش می‌کند</w:t>
      </w:r>
      <w:r w:rsidRPr="00024811">
        <w:rPr>
          <w:rFonts w:eastAsia="Times New Roman"/>
          <w:color w:val="2E3440"/>
          <w:sz w:val="35"/>
          <w:szCs w:val="35"/>
          <w:lang w:bidi="ar-SA"/>
        </w:rPr>
        <w:t>.</w:t>
      </w:r>
    </w:p>
    <w:p w14:paraId="252226DA"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lang w:bidi="ar-SA"/>
        </w:rPr>
        <w:t>خلاصه و نتیجه‌گیری</w:t>
      </w:r>
    </w:p>
    <w:p w14:paraId="2A393D75"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با توضیحات ارائه‌شده، وجه فتوای مرحوم میرزای نائینی کاملاً روشن شد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۱</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در صورت </w:t>
      </w:r>
      <w:r w:rsidRPr="00024811">
        <w:rPr>
          <w:rFonts w:eastAsia="Times New Roman"/>
          <w:b/>
          <w:bCs/>
          <w:color w:val="2E3440"/>
          <w:sz w:val="35"/>
          <w:szCs w:val="35"/>
          <w:rtl/>
          <w:lang w:bidi="ar-SA"/>
        </w:rPr>
        <w:t>جهل</w:t>
      </w:r>
      <w:r w:rsidRPr="00024811">
        <w:rPr>
          <w:rFonts w:eastAsia="Times New Roman"/>
          <w:color w:val="2E3440"/>
          <w:sz w:val="35"/>
          <w:szCs w:val="35"/>
          <w:rtl/>
          <w:lang w:bidi="ar-SA"/>
        </w:rPr>
        <w:t>، با استناد به صحیحه عبدالرحمن بن ابی‌عبدالله حکم به </w:t>
      </w:r>
      <w:r w:rsidRPr="00024811">
        <w:rPr>
          <w:rFonts w:eastAsia="Times New Roman"/>
          <w:b/>
          <w:bCs/>
          <w:color w:val="2E3440"/>
          <w:sz w:val="35"/>
          <w:szCs w:val="35"/>
          <w:rtl/>
          <w:lang w:bidi="ar-SA"/>
        </w:rPr>
        <w:t>صحت</w:t>
      </w:r>
      <w:r w:rsidRPr="00024811">
        <w:rPr>
          <w:rFonts w:eastAsia="Times New Roman"/>
          <w:color w:val="2E3440"/>
          <w:sz w:val="35"/>
          <w:szCs w:val="35"/>
          <w:rtl/>
          <w:lang w:bidi="ar-SA"/>
        </w:rPr>
        <w:t>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۲</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در صورت </w:t>
      </w:r>
      <w:r w:rsidRPr="00024811">
        <w:rPr>
          <w:rFonts w:eastAsia="Times New Roman"/>
          <w:b/>
          <w:bCs/>
          <w:color w:val="2E3440"/>
          <w:sz w:val="35"/>
          <w:szCs w:val="35"/>
          <w:rtl/>
          <w:lang w:bidi="ar-SA"/>
        </w:rPr>
        <w:t>نسیان</w:t>
      </w:r>
      <w:r w:rsidRPr="00024811">
        <w:rPr>
          <w:rFonts w:eastAsia="Times New Roman"/>
          <w:color w:val="2E3440"/>
          <w:sz w:val="35"/>
          <w:szCs w:val="35"/>
          <w:rtl/>
          <w:lang w:bidi="ar-SA"/>
        </w:rPr>
        <w:t>، حکم به </w:t>
      </w:r>
      <w:r w:rsidRPr="00024811">
        <w:rPr>
          <w:rFonts w:eastAsia="Times New Roman"/>
          <w:b/>
          <w:bCs/>
          <w:color w:val="2E3440"/>
          <w:sz w:val="35"/>
          <w:szCs w:val="35"/>
          <w:rtl/>
          <w:lang w:bidi="ar-SA"/>
        </w:rPr>
        <w:t>بطلان</w:t>
      </w:r>
      <w:r w:rsidRPr="00024811">
        <w:rPr>
          <w:rFonts w:eastAsia="Times New Roman"/>
          <w:color w:val="2E3440"/>
          <w:sz w:val="35"/>
          <w:szCs w:val="35"/>
          <w:rtl/>
          <w:lang w:bidi="ar-SA"/>
        </w:rPr>
        <w:t> می‌شود؛ چه قائل به «انقلاب نسبت» باشیم (که موثقه ابن‌بکیر مخصص حدیث لا تعاد می‌شود) و چه منکر آن باشیم (که پس از تساقط، به ادله اولیه اجزا و شرایط، یعنی جمله اول موثقه ابن‌بکیر رجوع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با توجه به مبنای مرحوم نائینی مبنی بر اختصاص حدیث لا تعاد به موارد نسیان، این فتوا کاملاً موجه و دارای انسجام اصولی است</w:t>
      </w:r>
      <w:r w:rsidRPr="00024811">
        <w:rPr>
          <w:rFonts w:eastAsia="Times New Roman"/>
          <w:color w:val="2E3440"/>
          <w:sz w:val="35"/>
          <w:szCs w:val="35"/>
          <w:lang w:bidi="ar-SA"/>
        </w:rPr>
        <w:t>.</w:t>
      </w:r>
    </w:p>
    <w:p w14:paraId="70F7772F" w14:textId="77777777" w:rsidR="00024811" w:rsidRPr="00024811" w:rsidRDefault="00024811" w:rsidP="00024811">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024811">
        <w:rPr>
          <w:rFonts w:eastAsia="Times New Roman"/>
          <w:b/>
          <w:bCs/>
          <w:color w:val="D08770"/>
          <w:spacing w:val="-4"/>
          <w:sz w:val="36"/>
          <w:szCs w:val="36"/>
          <w:rtl/>
          <w:lang w:bidi="ar-SA"/>
        </w:rPr>
        <w:t>تبیین وجه نظر امام خمینی (ره) در تفصیل میان جهل و نسیان</w:t>
      </w:r>
    </w:p>
    <w:p w14:paraId="60A4436D"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تا بدین‌جا وجه فتوای مرحوم میرزای نائینی در تفصیل میان صورت جهل و نسیان توجیه و تبیین شد. در این میان، مرحوم امام خمینی (ره) نیز به همین تفصیلِ مرحوم نائینی ملتزم شده‌اند؛ با این تفاوت که در قسمت نسیان، از باب احتیاط واجب قائل به بطلان شده‌اند</w:t>
      </w:r>
      <w:r w:rsidRPr="00024811">
        <w:rPr>
          <w:rFonts w:eastAsia="Times New Roman"/>
          <w:color w:val="2E3440"/>
          <w:sz w:val="35"/>
          <w:szCs w:val="35"/>
          <w:lang w:bidi="ar-SA"/>
        </w:rPr>
        <w:t>.</w:t>
      </w:r>
    </w:p>
    <w:p w14:paraId="18BBA875" w14:textId="4220A1C6"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lastRenderedPageBreak/>
        <w:t>اما مسئله‌ای که در اینجا مطرح می‌شود آن است که مرحوم امام، برخلاف مرحوم نائینی، قائل به اختصاص حدیث «لا تعاد» به موارد نسیان نیستند، بلکه موارد جهل را نیز مشمول این حدیث می‌دانند. با توجه به این مبنا، توجیهی که مرحوم آیت‌الله حکیم و مرحوم آیت‌الله خویی برای تفصیل مرحوم نائینی بیان کردند، در حق</w:t>
      </w:r>
      <w:r w:rsidR="0025680C">
        <w:rPr>
          <w:rFonts w:eastAsia="Times New Roman" w:hint="cs"/>
          <w:color w:val="2E3440"/>
          <w:sz w:val="35"/>
          <w:szCs w:val="35"/>
          <w:rtl/>
          <w:lang w:bidi="ar-SA"/>
        </w:rPr>
        <w:t xml:space="preserve"> تفصيل</w:t>
      </w:r>
      <w:r w:rsidRPr="00024811">
        <w:rPr>
          <w:rFonts w:eastAsia="Times New Roman"/>
          <w:color w:val="2E3440"/>
          <w:sz w:val="35"/>
          <w:szCs w:val="35"/>
          <w:rtl/>
          <w:lang w:bidi="ar-SA"/>
        </w:rPr>
        <w:t xml:space="preserve"> مرحوم امام تمام نخواهد بود؛ زیرا آن توجیه مبتنی بر این بود که نسبت میان ادله، «عموم و خصوص من‌وجه» است و جهت اختصاصِ حدیث «لا تعاد» در کلام مرحوم نائینی، انحصار آن به نسیان و عدم شمول نسبت به جهل فرض شده بود. حال اگر بپذیریم که حدیث «لا تعاد» هم موارد نسیان و هم موارد جهل را شامل می‌شود، چگونه می‌توان میان اخلال از حیث «ما لا یؤکل لحمه» در صورت جهل و نسیان تفصیل داد؟ وجه این تفصیل در کلام مرحوم امام چیست؟</w:t>
      </w:r>
    </w:p>
    <w:p w14:paraId="723A4DA5"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lang w:bidi="ar-SA"/>
        </w:rPr>
        <w:t>کیفیت شکل‌گیری تعارض و اِعمال نظریه انقلاب نسبت در مبنای امام خمینی (ره)</w:t>
      </w:r>
    </w:p>
    <w:p w14:paraId="41C1952C"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برای توجیه این تفصیل بر مبنای مرحوم امام، باید به این نکته دقت کرد که حتی با پذیرش شمول حدیث «لا تعاد» نسبت به موارد جهل، باز هم در این مقام باید به موثقه ابن‌بکیر اخذ کنیم. بیان مطلب به شرح زیر است</w:t>
      </w:r>
      <w:r w:rsidRPr="00024811">
        <w:rPr>
          <w:rFonts w:eastAsia="Times New Roman"/>
          <w:color w:val="2E3440"/>
          <w:sz w:val="35"/>
          <w:szCs w:val="35"/>
          <w:lang w:bidi="ar-SA"/>
        </w:rPr>
        <w:t>:</w:t>
      </w:r>
    </w:p>
    <w:p w14:paraId="3A8497EB" w14:textId="31FB691E"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هرچند حدیث «لا تعاد» اعم از موارد نسیان و جهل است، اما تمام اقسام جهل را در بر نمی‌گیرد. مرحوم امام هرچند در مباحث اصولی احتمال شمول نسبت به تمام موارد جهل را مطرح کرده‌اند،</w:t>
      </w:r>
      <w:r w:rsidR="0025680C">
        <w:rPr>
          <w:rFonts w:eastAsia="Times New Roman" w:hint="cs"/>
          <w:color w:val="2E3440"/>
          <w:sz w:val="35"/>
          <w:szCs w:val="35"/>
          <w:rtl/>
          <w:lang w:bidi="ar-SA"/>
        </w:rPr>
        <w:t xml:space="preserve"> اما </w:t>
      </w:r>
      <w:r w:rsidR="0025680C" w:rsidRPr="00024811">
        <w:rPr>
          <w:rFonts w:eastAsia="Times New Roman"/>
          <w:color w:val="2E3440"/>
          <w:sz w:val="35"/>
          <w:szCs w:val="35"/>
          <w:rtl/>
          <w:lang w:bidi="ar-SA"/>
        </w:rPr>
        <w:t xml:space="preserve">بر اساس </w:t>
      </w:r>
      <w:r w:rsidR="0025680C">
        <w:rPr>
          <w:rFonts w:eastAsia="Times New Roman" w:hint="cs"/>
          <w:color w:val="2E3440"/>
          <w:sz w:val="35"/>
          <w:szCs w:val="35"/>
          <w:rtl/>
          <w:lang w:bidi="ar-SA"/>
        </w:rPr>
        <w:t>آنچه در</w:t>
      </w:r>
      <w:r w:rsidR="0025680C" w:rsidRPr="00024811">
        <w:rPr>
          <w:rFonts w:eastAsia="Times New Roman"/>
          <w:color w:val="2E3440"/>
          <w:sz w:val="35"/>
          <w:szCs w:val="35"/>
          <w:rtl/>
          <w:lang w:bidi="ar-SA"/>
        </w:rPr>
        <w:t>مبا</w:t>
      </w:r>
      <w:r w:rsidR="0025680C">
        <w:rPr>
          <w:rFonts w:eastAsia="Times New Roman" w:hint="cs"/>
          <w:color w:val="2E3440"/>
          <w:sz w:val="35"/>
          <w:szCs w:val="35"/>
          <w:rtl/>
          <w:lang w:bidi="ar-SA"/>
        </w:rPr>
        <w:t>حث</w:t>
      </w:r>
      <w:r w:rsidR="0025680C" w:rsidRPr="00024811">
        <w:rPr>
          <w:rFonts w:eastAsia="Times New Roman"/>
          <w:color w:val="2E3440"/>
          <w:sz w:val="35"/>
          <w:szCs w:val="35"/>
          <w:rtl/>
          <w:lang w:bidi="ar-SA"/>
        </w:rPr>
        <w:t xml:space="preserve"> فقهی</w:t>
      </w:r>
      <w:r w:rsidR="0025680C">
        <w:rPr>
          <w:rFonts w:eastAsia="Times New Roman" w:hint="cs"/>
          <w:color w:val="2E3440"/>
          <w:sz w:val="35"/>
          <w:szCs w:val="35"/>
          <w:rtl/>
          <w:lang w:bidi="ar-SA"/>
        </w:rPr>
        <w:t xml:space="preserve"> فرموده اند</w:t>
      </w:r>
      <w:r w:rsidRPr="00024811">
        <w:rPr>
          <w:rFonts w:eastAsia="Times New Roman"/>
          <w:color w:val="2E3440"/>
          <w:sz w:val="35"/>
          <w:szCs w:val="35"/>
          <w:rtl/>
          <w:lang w:bidi="ar-SA"/>
        </w:rPr>
        <w:t xml:space="preserve"> حدیث «لا تعاد» علاوه بر نسیان، شامل موارد زیر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۱</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جهل قصوری (اعم از جهل به موضوع و جهل به حکم)</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۲</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جهل تقصیری در فرضی که مکلف اعتقاد به صحت عمل خود داشته باشد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اما «جاهل مقصرِ متردد» به هیچ وجه داخل در مفاد حدیث «لا تعاد» نیست و کسی نیز قائل به شمول آن نشده است</w:t>
      </w:r>
      <w:r w:rsidRPr="00024811">
        <w:rPr>
          <w:rFonts w:eastAsia="Times New Roman"/>
          <w:color w:val="2E3440"/>
          <w:sz w:val="35"/>
          <w:szCs w:val="35"/>
          <w:lang w:bidi="ar-SA"/>
        </w:rPr>
        <w:t>.</w:t>
      </w:r>
    </w:p>
    <w:p w14:paraId="0BC4F189"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از سوی دیگر، هنگامی که به جمله دوم موثقه ابن‌بکیر نگاه می‌کنیم، درمی‌یابیم که این موثقه تمامی صور و اقسام جهل (قصوری، تقصیری، متردد و معتقد به صحت)، نسیان و مسلماً عمد را شامل می‌شود؛ اما دایره شمول آن منحصراً در خصوص اخلال از حیث وقوع نماز در «ما لا یؤکل لحمه» است</w:t>
      </w:r>
      <w:r w:rsidRPr="00024811">
        <w:rPr>
          <w:rFonts w:eastAsia="Times New Roman"/>
          <w:color w:val="2E3440"/>
          <w:sz w:val="35"/>
          <w:szCs w:val="35"/>
          <w:lang w:bidi="ar-SA"/>
        </w:rPr>
        <w:t>.</w:t>
      </w:r>
    </w:p>
    <w:p w14:paraId="1D72BC1C" w14:textId="28088C0E"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lastRenderedPageBreak/>
        <w:t>حال اگر مفاد موثقه ابن‌بکیر (که تمام اقسام جهل و نسیان را در خصوص ما لا یؤکل شامل می‌شود) را با مفاد حدیث «لا تعاد» بسنجیم، نسبت میان آن‌ها همچنان </w:t>
      </w:r>
      <w:r w:rsidR="0025680C">
        <w:rPr>
          <w:rFonts w:eastAsia="Times New Roman" w:hint="cs"/>
          <w:b/>
          <w:bCs/>
          <w:color w:val="2E3440"/>
          <w:sz w:val="35"/>
          <w:szCs w:val="35"/>
          <w:rtl/>
          <w:lang w:bidi="ar-SA"/>
        </w:rPr>
        <w:t>«</w:t>
      </w:r>
      <w:r w:rsidRPr="00024811">
        <w:rPr>
          <w:rFonts w:eastAsia="Times New Roman"/>
          <w:b/>
          <w:bCs/>
          <w:color w:val="2E3440"/>
          <w:sz w:val="35"/>
          <w:szCs w:val="35"/>
          <w:rtl/>
          <w:lang w:bidi="ar-SA"/>
        </w:rPr>
        <w:t>عموم و خصوص من‌وجه</w:t>
      </w:r>
      <w:r w:rsidR="0025680C">
        <w:rPr>
          <w:rFonts w:eastAsia="Times New Roman" w:hint="cs"/>
          <w:b/>
          <w:bCs/>
          <w:color w:val="2E3440"/>
          <w:sz w:val="35"/>
          <w:szCs w:val="35"/>
          <w:rtl/>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خواهد بود، نه عموم و خصوص مطلق. دلیل این امر، وجود دو ماده افتراق و یک ماده اجتماع میان آن‌هاست</w:t>
      </w:r>
      <w:r w:rsidRPr="00024811">
        <w:rPr>
          <w:rFonts w:eastAsia="Times New Roman"/>
          <w:color w:val="2E3440"/>
          <w:sz w:val="35"/>
          <w:szCs w:val="35"/>
          <w:lang w:bidi="ar-SA"/>
        </w:rPr>
        <w:t>:</w:t>
      </w:r>
    </w:p>
    <w:p w14:paraId="55A73F82" w14:textId="54B6E428" w:rsidR="00024811" w:rsidRPr="00024811" w:rsidRDefault="00024811" w:rsidP="0025680C">
      <w:pPr>
        <w:numPr>
          <w:ilvl w:val="0"/>
          <w:numId w:val="21"/>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ماده افتراق موثقه ابن‌بکیر</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0025680C">
        <w:rPr>
          <w:rFonts w:eastAsia="Times New Roman" w:hint="cs"/>
          <w:color w:val="2E3440"/>
          <w:sz w:val="35"/>
          <w:szCs w:val="35"/>
          <w:rtl/>
          <w:lang w:bidi="ar-SA"/>
        </w:rPr>
        <w:t>«</w:t>
      </w:r>
      <w:r w:rsidRPr="00024811">
        <w:rPr>
          <w:rFonts w:eastAsia="Times New Roman"/>
          <w:color w:val="2E3440"/>
          <w:sz w:val="35"/>
          <w:szCs w:val="35"/>
          <w:rtl/>
          <w:lang w:bidi="ar-SA"/>
        </w:rPr>
        <w:t>جاهل تقصیریِ متردد» که در اجزای ما لا یؤکل نماز خوانده است. موثقه ابن‌بکیر شامل این مورد می‌شود و دلالت بر وجوب اعاده دارد، اما حدیث «لا تعاد» اساساً متعرض این فرد نیست و او را شامل نمی‌شود</w:t>
      </w:r>
      <w:r w:rsidRPr="00024811">
        <w:rPr>
          <w:rFonts w:eastAsia="Times New Roman"/>
          <w:color w:val="2E3440"/>
          <w:sz w:val="35"/>
          <w:szCs w:val="35"/>
          <w:lang w:bidi="ar-SA"/>
        </w:rPr>
        <w:t>.</w:t>
      </w:r>
    </w:p>
    <w:p w14:paraId="0C3C470E" w14:textId="77777777" w:rsidR="00024811" w:rsidRPr="00024811" w:rsidRDefault="00024811" w:rsidP="00024811">
      <w:pPr>
        <w:numPr>
          <w:ilvl w:val="0"/>
          <w:numId w:val="21"/>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ماده افتراق حدیث لا تعاد</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مواردی که اخلال به سایر اجزا و شرایط نماز (غیر از ما لا یؤکل) صورت گرفته باشد. (ماده افتراق در جانب حدیث لا تعاد بسیار گسترده است)</w:t>
      </w:r>
      <w:r w:rsidRPr="00024811">
        <w:rPr>
          <w:rFonts w:eastAsia="Times New Roman"/>
          <w:color w:val="2E3440"/>
          <w:sz w:val="35"/>
          <w:szCs w:val="35"/>
          <w:lang w:bidi="ar-SA"/>
        </w:rPr>
        <w:t>.</w:t>
      </w:r>
    </w:p>
    <w:p w14:paraId="7F7E9BFB" w14:textId="77777777" w:rsidR="00024811" w:rsidRPr="00024811" w:rsidRDefault="00024811" w:rsidP="00024811">
      <w:pPr>
        <w:numPr>
          <w:ilvl w:val="0"/>
          <w:numId w:val="21"/>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ماده اجتماع (محل تعارض)</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موارد «نسیان»، «جهل قصوری» و «جهل تقصیریِ معتقد به صحت» در فرض وقوع نماز در ما لا یؤکل لحمه. در این ماده اجتماع، موثقه ابن‌بکیر اقتضای وجوب اعاده دارد، در حالی که حدیث «لا تعاد» حکم به عدم اعاده می‌کند</w:t>
      </w:r>
      <w:r w:rsidRPr="00024811">
        <w:rPr>
          <w:rFonts w:eastAsia="Times New Roman"/>
          <w:color w:val="2E3440"/>
          <w:sz w:val="35"/>
          <w:szCs w:val="35"/>
          <w:lang w:bidi="ar-SA"/>
        </w:rPr>
        <w:t>.</w:t>
      </w:r>
    </w:p>
    <w:p w14:paraId="3732D95B" w14:textId="7DB33F9C"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در بدو امر، نسبت میان این دو دلیل عموم و خصوص من‌وجه است. در این مرحله، صحیحه عبدالرحمن بن ابی‌عبدالله به عنوان مخصص وارد عمل می‌شود. این صحیحه، تمامی موارد جهل (اعم از قصوری و تقصیریِ معتقد به صحت) را از تحت شمول موثقه ابن‌بکیر در ماده اجتماع خارج می‌کند و حکم به صحت آن‌ها می‌دهد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پس از خروج موارد جهل، مقدار باقی‌مانده در تحت حجیت جمله دوم موثقه ابن‌بکیر، منحصراً </w:t>
      </w:r>
      <w:r w:rsidR="0025680C">
        <w:rPr>
          <w:rFonts w:eastAsia="Times New Roman" w:hint="cs"/>
          <w:b/>
          <w:bCs/>
          <w:color w:val="2E3440"/>
          <w:sz w:val="35"/>
          <w:szCs w:val="35"/>
          <w:rtl/>
          <w:lang w:bidi="ar-SA"/>
        </w:rPr>
        <w:t>«</w:t>
      </w:r>
      <w:r w:rsidRPr="00024811">
        <w:rPr>
          <w:rFonts w:eastAsia="Times New Roman"/>
          <w:b/>
          <w:bCs/>
          <w:color w:val="2E3440"/>
          <w:sz w:val="35"/>
          <w:szCs w:val="35"/>
          <w:rtl/>
          <w:lang w:bidi="ar-SA"/>
        </w:rPr>
        <w:t>صورت نسیان در اخلال از حیث وقوع در ما لا یؤکل</w:t>
      </w:r>
      <w:r w:rsidR="0025680C">
        <w:rPr>
          <w:rFonts w:eastAsia="Times New Roman" w:hint="cs"/>
          <w:b/>
          <w:bCs/>
          <w:color w:val="2E3440"/>
          <w:sz w:val="35"/>
          <w:szCs w:val="35"/>
          <w:rtl/>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خواهد بود</w:t>
      </w:r>
      <w:r w:rsidRPr="00024811">
        <w:rPr>
          <w:rFonts w:eastAsia="Times New Roman"/>
          <w:color w:val="2E3440"/>
          <w:sz w:val="35"/>
          <w:szCs w:val="35"/>
          <w:lang w:bidi="ar-SA"/>
        </w:rPr>
        <w:t>.</w:t>
      </w:r>
    </w:p>
    <w:p w14:paraId="34C94490" w14:textId="46099ADB"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اکنون اگر این مفادِ باقی‌مانده (موثقه تخصیص‌خورده) را با حدیث «لا تعاد» بسنجیم، بر اساس </w:t>
      </w:r>
      <w:r w:rsidRPr="00024811">
        <w:rPr>
          <w:rFonts w:eastAsia="Times New Roman"/>
          <w:b/>
          <w:bCs/>
          <w:color w:val="2E3440"/>
          <w:sz w:val="35"/>
          <w:szCs w:val="35"/>
          <w:rtl/>
          <w:lang w:bidi="ar-SA"/>
        </w:rPr>
        <w:t>نظریه انقلاب نسبت</w:t>
      </w:r>
      <w:r w:rsidRPr="00024811">
        <w:rPr>
          <w:rFonts w:eastAsia="Times New Roman"/>
          <w:color w:val="2E3440"/>
          <w:sz w:val="35"/>
          <w:szCs w:val="35"/>
          <w:rtl/>
          <w:lang w:bidi="ar-SA"/>
        </w:rPr>
        <w:t> (که مرحوم امام نیز قائل به آن هستند)، نسبت میان آن‌ها به </w:t>
      </w:r>
      <w:r w:rsidR="0025680C">
        <w:rPr>
          <w:rFonts w:eastAsia="Times New Roman" w:hint="cs"/>
          <w:b/>
          <w:bCs/>
          <w:color w:val="2E3440"/>
          <w:sz w:val="35"/>
          <w:szCs w:val="35"/>
          <w:rtl/>
          <w:lang w:bidi="ar-SA"/>
        </w:rPr>
        <w:t>«</w:t>
      </w:r>
      <w:r w:rsidRPr="00024811">
        <w:rPr>
          <w:rFonts w:eastAsia="Times New Roman"/>
          <w:b/>
          <w:bCs/>
          <w:color w:val="2E3440"/>
          <w:sz w:val="35"/>
          <w:szCs w:val="35"/>
          <w:rtl/>
          <w:lang w:bidi="ar-SA"/>
        </w:rPr>
        <w:t>عموم و خصوص مطلق</w:t>
      </w:r>
      <w:r w:rsidR="0025680C">
        <w:rPr>
          <w:rFonts w:eastAsia="Times New Roman" w:hint="cs"/>
          <w:b/>
          <w:bCs/>
          <w:color w:val="2E3440"/>
          <w:sz w:val="35"/>
          <w:szCs w:val="35"/>
          <w:rtl/>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منقلب می‌شود. در نتیجه، موثقه ابن‌بکیر به عنوان دلیل خاص، حدیث «لا تعاد» را تخصیص می‌زند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 xml:space="preserve">یعنی در حالی که حدیث «لا تعاد» می‌گفت در نسیان، جهل قصوری و جهل تقصیری معتقد به صحت، اعاده لازم نیست؛ موثقه ابن‌بکیر (پس از انقلاب نسبت) </w:t>
      </w:r>
      <w:r w:rsidRPr="00024811">
        <w:rPr>
          <w:rFonts w:eastAsia="Times New Roman"/>
          <w:color w:val="2E3440"/>
          <w:sz w:val="35"/>
          <w:szCs w:val="35"/>
          <w:rtl/>
          <w:lang w:bidi="ar-SA"/>
        </w:rPr>
        <w:lastRenderedPageBreak/>
        <w:t>آن را تخصیص زده و می‌گوید: در فرض نسیانِ وقوع در ما لا یؤکل، اعاده لازم است</w:t>
      </w:r>
      <w:r w:rsidRPr="00024811">
        <w:rPr>
          <w:rFonts w:eastAsia="Times New Roman"/>
          <w:color w:val="2E3440"/>
          <w:sz w:val="35"/>
          <w:szCs w:val="35"/>
          <w:lang w:bidi="ar-SA"/>
        </w:rPr>
        <w:t>.</w:t>
      </w:r>
    </w:p>
    <w:p w14:paraId="28580D40" w14:textId="35F5386F"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بدین ترتیب، حکم به صحت و عدم وجوب اعاده در فرض جهل تمام است، اما در فرض نسیان، اعاده لازم خواهد بود. این بیان، توجیهِ تعلیقه مرحوم امام (ره) در این مسئله است</w:t>
      </w:r>
      <w:r w:rsidRPr="00024811">
        <w:rPr>
          <w:rFonts w:eastAsia="Times New Roman"/>
          <w:color w:val="2E3440"/>
          <w:sz w:val="35"/>
          <w:szCs w:val="35"/>
          <w:lang w:bidi="ar-SA"/>
        </w:rPr>
        <w:t>.</w:t>
      </w:r>
    </w:p>
    <w:p w14:paraId="550107EC" w14:textId="77777777" w:rsidR="00024811" w:rsidRPr="00024811" w:rsidRDefault="00024811" w:rsidP="00024811">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024811">
        <w:rPr>
          <w:rFonts w:eastAsia="Times New Roman"/>
          <w:b/>
          <w:bCs/>
          <w:color w:val="D08770"/>
          <w:spacing w:val="-4"/>
          <w:sz w:val="36"/>
          <w:szCs w:val="36"/>
          <w:rtl/>
          <w:lang w:bidi="ar-SA"/>
        </w:rPr>
        <w:t>تبیین وجه فتوای محقق عراقی (ره) در مسئله</w:t>
      </w:r>
    </w:p>
    <w:p w14:paraId="2399C101"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با توجه به توضیحاتی که در خصوص وجه فتوای مرحوم سید یزدی، تعلیقه مرحوم نائینی و تعلیقه مرحوم امام بیان شد، وجه سایر فتاوا و تعلیقاتی که در حاشیه </w:t>
      </w:r>
      <w:r w:rsidRPr="00024811">
        <w:rPr>
          <w:rFonts w:eastAsia="Times New Roman"/>
          <w:i/>
          <w:iCs/>
          <w:color w:val="2E3440"/>
          <w:sz w:val="35"/>
          <w:szCs w:val="35"/>
          <w:rtl/>
          <w:lang w:bidi="ar-SA"/>
        </w:rPr>
        <w:t>عروة الوثقی</w:t>
      </w:r>
      <w:r w:rsidRPr="00024811">
        <w:rPr>
          <w:rFonts w:eastAsia="Times New Roman"/>
          <w:color w:val="2E3440"/>
          <w:sz w:val="35"/>
          <w:szCs w:val="35"/>
          <w:rtl/>
          <w:lang w:bidi="ar-SA"/>
        </w:rPr>
        <w:t> ذکر شده نیز روشن می‌شود و نیازی به تطبیق و توضیح تک‌تک آن‌ها نیست (دقت و تأمل در توجیه سایر تفاصیل به فضلای جلسه موکول می‌شود)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با این حال، در میان این تفاصیل، تفصیل مرحوم محقق عراقی (ره) دارای امتیازی است که بررسی و تبیین وجه آن ضرورت دارد</w:t>
      </w:r>
      <w:r w:rsidRPr="00024811">
        <w:rPr>
          <w:rFonts w:eastAsia="Times New Roman"/>
          <w:color w:val="2E3440"/>
          <w:sz w:val="35"/>
          <w:szCs w:val="35"/>
          <w:lang w:bidi="ar-SA"/>
        </w:rPr>
        <w:t>.</w:t>
      </w:r>
    </w:p>
    <w:p w14:paraId="5C8DF5CA" w14:textId="2BCCDF40" w:rsidR="00024811" w:rsidRPr="00024811" w:rsidRDefault="00024811" w:rsidP="0025680C">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مرحوم محقق عراقی در تعلیقه خود، هم در قسمت «جهل» و هم در قسمت «نسیان» تفصیل قائل شده‌اند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۱</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در قسمت جهل، فرموده‌اند نماز تنها در فرض </w:t>
      </w:r>
      <w:r w:rsidR="0025680C">
        <w:rPr>
          <w:rFonts w:eastAsia="Times New Roman" w:hint="cs"/>
          <w:b/>
          <w:bCs/>
          <w:color w:val="2E3440"/>
          <w:sz w:val="35"/>
          <w:szCs w:val="35"/>
          <w:rtl/>
          <w:lang w:bidi="ar-SA"/>
        </w:rPr>
        <w:t>«</w:t>
      </w:r>
      <w:r w:rsidRPr="00024811">
        <w:rPr>
          <w:rFonts w:eastAsia="Times New Roman"/>
          <w:b/>
          <w:bCs/>
          <w:color w:val="2E3440"/>
          <w:sz w:val="35"/>
          <w:szCs w:val="35"/>
          <w:rtl/>
          <w:lang w:bidi="ar-SA"/>
        </w:rPr>
        <w:t>جهل به موضوع</w:t>
      </w:r>
      <w:r w:rsidR="0025680C">
        <w:rPr>
          <w:rFonts w:eastAsia="Times New Roman" w:hint="cs"/>
          <w:b/>
          <w:bCs/>
          <w:color w:val="2E3440"/>
          <w:sz w:val="35"/>
          <w:szCs w:val="35"/>
          <w:rtl/>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صحیح است</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rPr>
        <w:t>۲</w:t>
      </w:r>
      <w:r w:rsidRPr="00024811">
        <w:rPr>
          <w:rFonts w:eastAsia="Times New Roman"/>
          <w:color w:val="2E3440"/>
          <w:sz w:val="35"/>
          <w:szCs w:val="35"/>
          <w:lang w:bidi="ar-SA"/>
        </w:rPr>
        <w:t xml:space="preserve">. </w:t>
      </w:r>
      <w:r w:rsidRPr="00024811">
        <w:rPr>
          <w:rFonts w:eastAsia="Times New Roman"/>
          <w:color w:val="2E3440"/>
          <w:sz w:val="35"/>
          <w:szCs w:val="35"/>
          <w:rtl/>
          <w:lang w:bidi="ar-SA"/>
        </w:rPr>
        <w:t>در قسمت نسیان، فرموده‌اند نماز تنها در فرض نسیانِ </w:t>
      </w:r>
      <w:r w:rsidR="0025680C">
        <w:rPr>
          <w:rFonts w:eastAsia="Times New Roman" w:hint="cs"/>
          <w:b/>
          <w:bCs/>
          <w:color w:val="2E3440"/>
          <w:sz w:val="35"/>
          <w:szCs w:val="35"/>
          <w:rtl/>
          <w:lang w:bidi="ar-SA"/>
        </w:rPr>
        <w:t>«</w:t>
      </w:r>
      <w:r w:rsidRPr="00024811">
        <w:rPr>
          <w:rFonts w:eastAsia="Times New Roman"/>
          <w:b/>
          <w:bCs/>
          <w:color w:val="2E3440"/>
          <w:sz w:val="35"/>
          <w:szCs w:val="35"/>
          <w:rtl/>
          <w:lang w:bidi="ar-SA"/>
        </w:rPr>
        <w:t>اجزای غیر نجسه</w:t>
      </w:r>
      <w:r w:rsidR="0025680C">
        <w:rPr>
          <w:rFonts w:eastAsia="Times New Roman" w:hint="cs"/>
          <w:b/>
          <w:bCs/>
          <w:color w:val="2E3440"/>
          <w:sz w:val="35"/>
          <w:szCs w:val="35"/>
          <w:rtl/>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صحیح است و در اجزای نجسه، حکم به صحت نمی‌شود</w:t>
      </w:r>
      <w:r w:rsidRPr="00024811">
        <w:rPr>
          <w:rFonts w:eastAsia="Times New Roman"/>
          <w:color w:val="2E3440"/>
          <w:sz w:val="35"/>
          <w:szCs w:val="35"/>
          <w:lang w:bidi="ar-SA"/>
        </w:rPr>
        <w:t>.</w:t>
      </w:r>
    </w:p>
    <w:p w14:paraId="4D1B2996"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rPr>
        <w:t>۱</w:t>
      </w:r>
      <w:r w:rsidRPr="00024811">
        <w:rPr>
          <w:rFonts w:eastAsia="Times New Roman"/>
          <w:color w:val="EBCB8B"/>
          <w:spacing w:val="-3"/>
          <w:sz w:val="35"/>
          <w:szCs w:val="35"/>
          <w:lang w:bidi="ar-SA"/>
        </w:rPr>
        <w:t xml:space="preserve">. </w:t>
      </w:r>
      <w:r w:rsidRPr="00024811">
        <w:rPr>
          <w:rFonts w:eastAsia="Times New Roman"/>
          <w:color w:val="EBCB8B"/>
          <w:spacing w:val="-3"/>
          <w:sz w:val="35"/>
          <w:szCs w:val="35"/>
          <w:rtl/>
          <w:lang w:bidi="ar-SA"/>
        </w:rPr>
        <w:t>وجه تفصیل در فرض جهل</w:t>
      </w:r>
    </w:p>
    <w:p w14:paraId="26174C37"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همان‌طور که خود ایشان در تعلیقه اشاره کرده‌اند، مستند حکم به صحت در فرض جهل، صحیحه عبدالرحمن بن ابی‌عبدالله است. اما از آنجا که مفاد این صحیحه ضیق است و تنها ظهور در «جهل به موضوع» دارد و شامل «جهل به حکم» نمی‌شود، ایشان نیز حکم به صحت را منحصراً به جهل به موضوع مقید کرده‌اند</w:t>
      </w:r>
      <w:r w:rsidRPr="00024811">
        <w:rPr>
          <w:rFonts w:eastAsia="Times New Roman"/>
          <w:color w:val="2E3440"/>
          <w:sz w:val="35"/>
          <w:szCs w:val="35"/>
          <w:lang w:bidi="ar-SA"/>
        </w:rPr>
        <w:t>.</w:t>
      </w:r>
    </w:p>
    <w:p w14:paraId="66D3A2F5" w14:textId="77777777" w:rsidR="00024811" w:rsidRPr="00024811" w:rsidRDefault="00024811" w:rsidP="00024811">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024811">
        <w:rPr>
          <w:rFonts w:eastAsia="Times New Roman"/>
          <w:color w:val="EBCB8B"/>
          <w:spacing w:val="-3"/>
          <w:sz w:val="35"/>
          <w:szCs w:val="35"/>
          <w:rtl/>
        </w:rPr>
        <w:t>۲</w:t>
      </w:r>
      <w:r w:rsidRPr="00024811">
        <w:rPr>
          <w:rFonts w:eastAsia="Times New Roman"/>
          <w:color w:val="EBCB8B"/>
          <w:spacing w:val="-3"/>
          <w:sz w:val="35"/>
          <w:szCs w:val="35"/>
          <w:lang w:bidi="ar-SA"/>
        </w:rPr>
        <w:t xml:space="preserve">. </w:t>
      </w:r>
      <w:r w:rsidRPr="00024811">
        <w:rPr>
          <w:rFonts w:eastAsia="Times New Roman"/>
          <w:color w:val="EBCB8B"/>
          <w:spacing w:val="-3"/>
          <w:sz w:val="35"/>
          <w:szCs w:val="35"/>
          <w:rtl/>
          <w:lang w:bidi="ar-SA"/>
        </w:rPr>
        <w:t>وجه تفصیل در فرض نسیان</w:t>
      </w:r>
    </w:p>
    <w:p w14:paraId="601F8E0F"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lastRenderedPageBreak/>
        <w:t>چرا ایشان در فرض نسیان، میان اجزای نجسه و غیر نجسه تفصیل داده‌اند و نسیان در اجزای نجسه را محکوم به صحت ندانسته‌اند؟ بر اساس مبانی ایشان (که در تعلیقه و مباحث پیشین نیز به آن اشاره شد)، دو وجه برای این تفصیل وجود دارد</w:t>
      </w:r>
      <w:r w:rsidRPr="00024811">
        <w:rPr>
          <w:rFonts w:eastAsia="Times New Roman"/>
          <w:color w:val="2E3440"/>
          <w:sz w:val="35"/>
          <w:szCs w:val="35"/>
          <w:lang w:bidi="ar-SA"/>
        </w:rPr>
        <w:t>:</w:t>
      </w:r>
    </w:p>
    <w:p w14:paraId="3599B55C" w14:textId="77777777" w:rsidR="00024811" w:rsidRPr="00024811" w:rsidRDefault="00024811" w:rsidP="00024811">
      <w:pPr>
        <w:numPr>
          <w:ilvl w:val="0"/>
          <w:numId w:val="22"/>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وجه اول (توسعه در معنای الطهور)</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به نظر محقق عراقی، واژه </w:t>
      </w:r>
      <w:r w:rsidRPr="00024811">
        <w:rPr>
          <w:rFonts w:eastAsia="Times New Roman"/>
          <w:color w:val="2E3440"/>
          <w:sz w:val="30"/>
          <w:szCs w:val="30"/>
          <w:bdr w:val="single" w:sz="2" w:space="2" w:color="D8DEE9" w:frame="1"/>
          <w:shd w:val="clear" w:color="auto" w:fill="ECEFF4"/>
          <w:rtl/>
          <w:lang w:bidi="ar-SA"/>
        </w:rPr>
        <w:t>الطهور</w:t>
      </w:r>
      <w:r w:rsidRPr="00024811">
        <w:rPr>
          <w:rFonts w:eastAsia="Times New Roman"/>
          <w:color w:val="2E3440"/>
          <w:sz w:val="35"/>
          <w:szCs w:val="35"/>
          <w:rtl/>
          <w:lang w:bidi="ar-SA"/>
        </w:rPr>
        <w:t> که در حدیث «لا تعاد» جزء مستثنیات پنج‌گانه (خمس) قرار داده شده، اختصاصی به «طهارت از حدث» ندارد، بلکه اعم از طهارت از حدث و طهارت از خبث است. بر این اساس، اخلال به طهارت از خبث (وقوع در نجاست)، اخلال به یکی از آن مستثنیات خمس محسوب می‌شود. از آنجا که اخلال به خمس، حتی از روی عذر و نسیان موجب بطلان است، دیگر راهی برای تصحیح نمازِ واقع در اجزای نجسه از روی نسیان وجود نخواهد داشت. (البته اگر حدیث لا تعاد شامل آن می‌شد، مشکل حل بود، اما به دلیل اندراج در مستثنیات، خارج شده است)</w:t>
      </w:r>
      <w:r w:rsidRPr="00024811">
        <w:rPr>
          <w:rFonts w:eastAsia="Times New Roman"/>
          <w:color w:val="2E3440"/>
          <w:sz w:val="35"/>
          <w:szCs w:val="35"/>
          <w:lang w:bidi="ar-SA"/>
        </w:rPr>
        <w:t>.</w:t>
      </w:r>
    </w:p>
    <w:p w14:paraId="64CF5114" w14:textId="77777777" w:rsidR="00024811" w:rsidRPr="00024811" w:rsidRDefault="00024811" w:rsidP="00024811">
      <w:pPr>
        <w:numPr>
          <w:ilvl w:val="0"/>
          <w:numId w:val="22"/>
        </w:num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b/>
          <w:bCs/>
          <w:color w:val="2E3440"/>
          <w:sz w:val="35"/>
          <w:szCs w:val="35"/>
          <w:rtl/>
          <w:lang w:bidi="ar-SA"/>
        </w:rPr>
        <w:t>وجه دوم (تخصیص حدیث لا تعاد)</w:t>
      </w:r>
      <w:r w:rsidRPr="00024811">
        <w:rPr>
          <w:rFonts w:eastAsia="Times New Roman"/>
          <w:b/>
          <w:bCs/>
          <w:color w:val="2E3440"/>
          <w:sz w:val="35"/>
          <w:szCs w:val="35"/>
          <w:lang w:bidi="ar-SA"/>
        </w:rPr>
        <w:t>:</w:t>
      </w:r>
      <w:r w:rsidRPr="00024811">
        <w:rPr>
          <w:rFonts w:eastAsia="Times New Roman"/>
          <w:color w:val="2E3440"/>
          <w:sz w:val="35"/>
          <w:szCs w:val="35"/>
          <w:lang w:bidi="ar-SA"/>
        </w:rPr>
        <w:t> </w:t>
      </w:r>
      <w:r w:rsidRPr="00024811">
        <w:rPr>
          <w:rFonts w:eastAsia="Times New Roman"/>
          <w:color w:val="2E3440"/>
          <w:sz w:val="35"/>
          <w:szCs w:val="35"/>
          <w:rtl/>
          <w:lang w:bidi="ar-SA"/>
        </w:rPr>
        <w:t>حتی اگر بپذیریم که مقصود از </w:t>
      </w:r>
      <w:r w:rsidRPr="00024811">
        <w:rPr>
          <w:rFonts w:eastAsia="Times New Roman"/>
          <w:color w:val="2E3440"/>
          <w:sz w:val="30"/>
          <w:szCs w:val="30"/>
          <w:bdr w:val="single" w:sz="2" w:space="2" w:color="D8DEE9" w:frame="1"/>
          <w:shd w:val="clear" w:color="auto" w:fill="ECEFF4"/>
          <w:rtl/>
          <w:lang w:bidi="ar-SA"/>
        </w:rPr>
        <w:t>الطهور</w:t>
      </w:r>
      <w:r w:rsidRPr="00024811">
        <w:rPr>
          <w:rFonts w:eastAsia="Times New Roman"/>
          <w:color w:val="2E3440"/>
          <w:sz w:val="35"/>
          <w:szCs w:val="35"/>
          <w:rtl/>
          <w:lang w:bidi="ar-SA"/>
        </w:rPr>
        <w:t> در حدیث «لا تعاد» منحصراً طهارت از حدث است، باز هم حکم به بطلان در نسیانِ نجاست ثابت است. زیرا «صحیحه ثانیه زراره» (که در باب استصحاب وارد شده و صراحتاً در مورد نسیانِ نجاستِ لباس است)، مخصص حدیث «لا تعاد» خواهد بود</w:t>
      </w:r>
      <w:r w:rsidRPr="00024811">
        <w:rPr>
          <w:rFonts w:eastAsia="Times New Roman"/>
          <w:color w:val="2E3440"/>
          <w:sz w:val="35"/>
          <w:szCs w:val="35"/>
          <w:lang w:bidi="ar-SA"/>
        </w:rPr>
        <w:t>.</w:t>
      </w:r>
      <w:r w:rsidRPr="00024811">
        <w:rPr>
          <w:rFonts w:eastAsia="Times New Roman"/>
          <w:color w:val="2E3440"/>
          <w:sz w:val="35"/>
          <w:szCs w:val="35"/>
          <w:lang w:bidi="ar-SA"/>
        </w:rPr>
        <w:br/>
      </w:r>
      <w:r w:rsidRPr="00024811">
        <w:rPr>
          <w:rFonts w:eastAsia="Times New Roman"/>
          <w:color w:val="2E3440"/>
          <w:sz w:val="35"/>
          <w:szCs w:val="35"/>
          <w:rtl/>
          <w:lang w:bidi="ar-SA"/>
        </w:rPr>
        <w:t>حدیث «لا تعاد» فی‌نفسه بر ادله اولیه اجزا و شرایط حاکم است، اما صحیحه ثانیه زراره می‌آید و طهارت از خبث در فرض نسیان را از تحت شمول حدیث «لا تعاد» خارج می‌کند. با خروج نسیانِ نجاست از دایره شمول «لا تعاد»، این فرض تحت مقتضای قواعد اولیه و ادله دال بر مانعیتِ غیر مأکول باقی می‌ماند و در نتیجه، حکم به بطلان نماز می‌شود</w:t>
      </w:r>
      <w:r w:rsidRPr="00024811">
        <w:rPr>
          <w:rFonts w:eastAsia="Times New Roman"/>
          <w:color w:val="2E3440"/>
          <w:sz w:val="35"/>
          <w:szCs w:val="35"/>
          <w:lang w:bidi="ar-SA"/>
        </w:rPr>
        <w:t>.</w:t>
      </w:r>
    </w:p>
    <w:p w14:paraId="00665120"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بنابراین، به بیان مرحوم عراقی، یا اساساً حدیث «لا تعاد» شامل نسیانِ نجاست نمی‌شود (وجه اول)، و یا اگر کسی قائل به شمول اطلاقیِ آن بشود، صحیحه ثانیه زراره آن را تخصیص می‌زند (وجه دوم)</w:t>
      </w:r>
      <w:r w:rsidRPr="00024811">
        <w:rPr>
          <w:rFonts w:eastAsia="Times New Roman"/>
          <w:color w:val="2E3440"/>
          <w:sz w:val="35"/>
          <w:szCs w:val="35"/>
          <w:lang w:bidi="ar-SA"/>
        </w:rPr>
        <w:t>.</w:t>
      </w:r>
    </w:p>
    <w:p w14:paraId="7042D878" w14:textId="77777777" w:rsidR="00024811" w:rsidRPr="00024811" w:rsidRDefault="00024811" w:rsidP="00024811">
      <w:pPr>
        <w:shd w:val="clear" w:color="auto" w:fill="FFFFFF"/>
        <w:spacing w:before="100" w:beforeAutospacing="1" w:after="100" w:afterAutospacing="1" w:line="240" w:lineRule="auto"/>
        <w:jc w:val="left"/>
        <w:rPr>
          <w:rFonts w:eastAsia="Times New Roman"/>
          <w:color w:val="2E3440"/>
          <w:sz w:val="35"/>
          <w:szCs w:val="35"/>
          <w:lang w:bidi="ar-SA"/>
        </w:rPr>
      </w:pPr>
      <w:r w:rsidRPr="00024811">
        <w:rPr>
          <w:rFonts w:eastAsia="Times New Roman"/>
          <w:color w:val="2E3440"/>
          <w:sz w:val="35"/>
          <w:szCs w:val="35"/>
          <w:rtl/>
          <w:lang w:bidi="ar-SA"/>
        </w:rPr>
        <w:t>وصلی الله علی محمد و آله الطاهرین</w:t>
      </w:r>
      <w:r w:rsidRPr="00024811">
        <w:rPr>
          <w:rFonts w:eastAsia="Times New Roman"/>
          <w:color w:val="2E3440"/>
          <w:sz w:val="35"/>
          <w:szCs w:val="35"/>
          <w:lang w:bidi="ar-SA"/>
        </w:rPr>
        <w:t>.</w:t>
      </w:r>
    </w:p>
    <w:p w14:paraId="144E10AB" w14:textId="11DB178D" w:rsidR="0013091F" w:rsidRPr="007A2CA4" w:rsidRDefault="0013091F" w:rsidP="00024811">
      <w:pPr>
        <w:jc w:val="left"/>
        <w:rPr>
          <w:rtl/>
        </w:rPr>
      </w:pPr>
      <w:bookmarkStart w:id="0" w:name="_GoBack"/>
      <w:bookmarkEnd w:id="0"/>
    </w:p>
    <w:sectPr w:rsidR="0013091F" w:rsidRPr="007A2CA4" w:rsidSect="008C664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9C526" w14:textId="77777777" w:rsidR="00037E99" w:rsidRDefault="00037E99" w:rsidP="00292230">
      <w:r>
        <w:separator/>
      </w:r>
    </w:p>
  </w:endnote>
  <w:endnote w:type="continuationSeparator" w:id="0">
    <w:p w14:paraId="60F1043B" w14:textId="77777777" w:rsidR="00037E99" w:rsidRDefault="00037E99"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FE4C2" w14:textId="77777777" w:rsidR="00037E99" w:rsidRDefault="00037E99" w:rsidP="00292230">
      <w:r>
        <w:separator/>
      </w:r>
    </w:p>
  </w:footnote>
  <w:footnote w:type="continuationSeparator" w:id="0">
    <w:p w14:paraId="7A473265" w14:textId="77777777" w:rsidR="00037E99" w:rsidRDefault="00037E99"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06379925"/>
      <w:docPartObj>
        <w:docPartGallery w:val="Page Numbers (Top of Page)"/>
        <w:docPartUnique/>
      </w:docPartObj>
    </w:sdtPr>
    <w:sdtEndPr>
      <w:rPr>
        <w:noProof/>
      </w:rPr>
    </w:sdtEndPr>
    <w:sdtContent>
      <w:p w14:paraId="2D48F672" w14:textId="5BC20F02" w:rsidR="009E528D" w:rsidRDefault="009E528D">
        <w:pPr>
          <w:pStyle w:val="a3"/>
          <w:jc w:val="right"/>
        </w:pPr>
        <w:r>
          <w:fldChar w:fldCharType="begin"/>
        </w:r>
        <w:r>
          <w:instrText xml:space="preserve"> PAGE   \* MERGEFORMAT </w:instrText>
        </w:r>
        <w:r>
          <w:fldChar w:fldCharType="separate"/>
        </w:r>
        <w:r w:rsidR="0025680C">
          <w:rPr>
            <w:noProof/>
            <w:rtl/>
          </w:rPr>
          <w:t>11</w:t>
        </w:r>
        <w:r>
          <w:rPr>
            <w:noProof/>
          </w:rPr>
          <w:fldChar w:fldCharType="end"/>
        </w:r>
      </w:p>
    </w:sdtContent>
  </w:sdt>
  <w:p w14:paraId="50AE6D7C" w14:textId="77777777" w:rsidR="009E528D" w:rsidRDefault="009E528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9"/>
  </w:num>
  <w:num w:numId="3">
    <w:abstractNumId w:val="6"/>
  </w:num>
  <w:num w:numId="4">
    <w:abstractNumId w:val="9"/>
  </w:num>
  <w:num w:numId="5">
    <w:abstractNumId w:val="5"/>
  </w:num>
  <w:num w:numId="6">
    <w:abstractNumId w:val="16"/>
  </w:num>
  <w:num w:numId="7">
    <w:abstractNumId w:val="13"/>
  </w:num>
  <w:num w:numId="8">
    <w:abstractNumId w:val="7"/>
  </w:num>
  <w:num w:numId="9">
    <w:abstractNumId w:val="21"/>
  </w:num>
  <w:num w:numId="10">
    <w:abstractNumId w:val="4"/>
  </w:num>
  <w:num w:numId="11">
    <w:abstractNumId w:val="10"/>
  </w:num>
  <w:num w:numId="12">
    <w:abstractNumId w:val="2"/>
  </w:num>
  <w:num w:numId="13">
    <w:abstractNumId w:val="0"/>
  </w:num>
  <w:num w:numId="14">
    <w:abstractNumId w:val="15"/>
  </w:num>
  <w:num w:numId="15">
    <w:abstractNumId w:val="20"/>
  </w:num>
  <w:num w:numId="16">
    <w:abstractNumId w:val="1"/>
  </w:num>
  <w:num w:numId="17">
    <w:abstractNumId w:val="18"/>
  </w:num>
  <w:num w:numId="18">
    <w:abstractNumId w:val="14"/>
  </w:num>
  <w:num w:numId="19">
    <w:abstractNumId w:val="17"/>
  </w:num>
  <w:num w:numId="20">
    <w:abstractNumId w:val="8"/>
  </w:num>
  <w:num w:numId="21">
    <w:abstractNumId w:val="3"/>
  </w:num>
  <w:num w:numId="2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37E99"/>
    <w:rsid w:val="00065C4A"/>
    <w:rsid w:val="00087F40"/>
    <w:rsid w:val="000A35DE"/>
    <w:rsid w:val="000C15C3"/>
    <w:rsid w:val="00125E8A"/>
    <w:rsid w:val="0013091F"/>
    <w:rsid w:val="00134AD5"/>
    <w:rsid w:val="00140669"/>
    <w:rsid w:val="00174F16"/>
    <w:rsid w:val="00186DAC"/>
    <w:rsid w:val="00197012"/>
    <w:rsid w:val="001A4386"/>
    <w:rsid w:val="001A74A7"/>
    <w:rsid w:val="00222691"/>
    <w:rsid w:val="00232521"/>
    <w:rsid w:val="00236017"/>
    <w:rsid w:val="0025680C"/>
    <w:rsid w:val="00280E47"/>
    <w:rsid w:val="00290EA0"/>
    <w:rsid w:val="00292230"/>
    <w:rsid w:val="002A1BA1"/>
    <w:rsid w:val="002B206C"/>
    <w:rsid w:val="00312E07"/>
    <w:rsid w:val="00324484"/>
    <w:rsid w:val="00324AB1"/>
    <w:rsid w:val="00344B9C"/>
    <w:rsid w:val="003A2F27"/>
    <w:rsid w:val="003E3F63"/>
    <w:rsid w:val="00413A7F"/>
    <w:rsid w:val="00441FC9"/>
    <w:rsid w:val="00443216"/>
    <w:rsid w:val="00453374"/>
    <w:rsid w:val="004C7681"/>
    <w:rsid w:val="00501346"/>
    <w:rsid w:val="0054159D"/>
    <w:rsid w:val="00586E96"/>
    <w:rsid w:val="005D297B"/>
    <w:rsid w:val="00600ACD"/>
    <w:rsid w:val="00635BE1"/>
    <w:rsid w:val="006A37AC"/>
    <w:rsid w:val="006B49FB"/>
    <w:rsid w:val="006C4CAF"/>
    <w:rsid w:val="006E4359"/>
    <w:rsid w:val="006F22CA"/>
    <w:rsid w:val="006F40A6"/>
    <w:rsid w:val="006F56A8"/>
    <w:rsid w:val="00712806"/>
    <w:rsid w:val="00727907"/>
    <w:rsid w:val="00740F9D"/>
    <w:rsid w:val="007465F6"/>
    <w:rsid w:val="00762B40"/>
    <w:rsid w:val="00780E6D"/>
    <w:rsid w:val="00791C57"/>
    <w:rsid w:val="007A2CA4"/>
    <w:rsid w:val="007D2384"/>
    <w:rsid w:val="007F61A4"/>
    <w:rsid w:val="00803BC3"/>
    <w:rsid w:val="00813D8B"/>
    <w:rsid w:val="0082184E"/>
    <w:rsid w:val="00846EA9"/>
    <w:rsid w:val="008B085F"/>
    <w:rsid w:val="008C664F"/>
    <w:rsid w:val="008D12E3"/>
    <w:rsid w:val="008E482D"/>
    <w:rsid w:val="008E689B"/>
    <w:rsid w:val="008F275D"/>
    <w:rsid w:val="00910FA8"/>
    <w:rsid w:val="009149B3"/>
    <w:rsid w:val="00923326"/>
    <w:rsid w:val="0094392D"/>
    <w:rsid w:val="00993B52"/>
    <w:rsid w:val="0099684D"/>
    <w:rsid w:val="009A04DD"/>
    <w:rsid w:val="009B1436"/>
    <w:rsid w:val="009B361E"/>
    <w:rsid w:val="009B39CC"/>
    <w:rsid w:val="009D0D81"/>
    <w:rsid w:val="009D29C5"/>
    <w:rsid w:val="009E528D"/>
    <w:rsid w:val="00A43D7B"/>
    <w:rsid w:val="00A4780D"/>
    <w:rsid w:val="00AA5BBD"/>
    <w:rsid w:val="00AB035E"/>
    <w:rsid w:val="00AB538E"/>
    <w:rsid w:val="00AD2A5B"/>
    <w:rsid w:val="00AD7FA3"/>
    <w:rsid w:val="00B05EC7"/>
    <w:rsid w:val="00B11DDA"/>
    <w:rsid w:val="00B34C5D"/>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A60CC"/>
    <w:rsid w:val="00CB75E1"/>
    <w:rsid w:val="00CC6694"/>
    <w:rsid w:val="00CE5FE4"/>
    <w:rsid w:val="00CF27F3"/>
    <w:rsid w:val="00D011CD"/>
    <w:rsid w:val="00D07653"/>
    <w:rsid w:val="00D21BD6"/>
    <w:rsid w:val="00D33ABC"/>
    <w:rsid w:val="00D544E9"/>
    <w:rsid w:val="00D914D7"/>
    <w:rsid w:val="00D930E5"/>
    <w:rsid w:val="00DA1A5C"/>
    <w:rsid w:val="00DA578E"/>
    <w:rsid w:val="00DB5415"/>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3675"/>
    <w:rsid w:val="00F16F5C"/>
    <w:rsid w:val="00F238AF"/>
    <w:rsid w:val="00F37E5C"/>
    <w:rsid w:val="00F43B0E"/>
    <w:rsid w:val="00F66EFD"/>
    <w:rsid w:val="00F757F4"/>
    <w:rsid w:val="00F822AC"/>
    <w:rsid w:val="00F86F4A"/>
    <w:rsid w:val="00F936DE"/>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86A15-710E-4AA3-ADD6-6B40D2003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11</Pages>
  <Words>2550</Words>
  <Characters>14535</Characters>
  <Application>Microsoft Office Word</Application>
  <DocSecurity>0</DocSecurity>
  <Lines>121</Lines>
  <Paragraphs>34</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17051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61</cp:revision>
  <dcterms:created xsi:type="dcterms:W3CDTF">2021-07-05T07:07:00Z</dcterms:created>
  <dcterms:modified xsi:type="dcterms:W3CDTF">2026-10-09T18:34:00Z</dcterms:modified>
</cp:coreProperties>
</file>