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BA426"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14:ligatures w14:val="none"/>
        </w:rPr>
        <w:t>اعوذ بالله من الشیطان الرجیم</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14:ligatures w14:val="none"/>
        </w:rPr>
        <w:t>بسم الله الرحمن الرحیم</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14:ligatures w14:val="none"/>
        </w:rPr>
        <w:t>الحمدلله رب العالمین و صلی الله علی محمدٍ و آله الطاهرین و لعنت الله علی اعدائهم اجمعین</w:t>
      </w:r>
      <w:r w:rsidRPr="009C3E2C">
        <w:rPr>
          <w:rFonts w:ascii="IRMitra" w:eastAsia="Times New Roman" w:hAnsi="IRMitra" w:cs="IRMitra"/>
          <w:kern w:val="0"/>
          <w:sz w:val="32"/>
          <w:szCs w:val="32"/>
          <w:lang w:bidi="ar"/>
          <w14:ligatures w14:val="none"/>
        </w:rPr>
        <w:t>.</w:t>
      </w:r>
    </w:p>
    <w:p w14:paraId="638539A4" w14:textId="77777777" w:rsidR="009C3E2C" w:rsidRPr="009C3E2C" w:rsidRDefault="009C3E2C" w:rsidP="009C3E2C">
      <w:pPr>
        <w:bidi/>
        <w:rPr>
          <w:rFonts w:ascii="IRMitra" w:eastAsia="Times New Roman" w:hAnsi="IRMitra" w:cs="IRMitra"/>
          <w:b/>
          <w:bCs/>
          <w:kern w:val="0"/>
          <w:sz w:val="32"/>
          <w:szCs w:val="32"/>
          <w:lang w:bidi="ar"/>
          <w14:ligatures w14:val="none"/>
        </w:rPr>
      </w:pPr>
      <w:r w:rsidRPr="009C3E2C">
        <w:rPr>
          <w:rFonts w:ascii="IRMitra" w:eastAsia="Times New Roman" w:hAnsi="IRMitra" w:cs="IRMitra"/>
          <w:b/>
          <w:bCs/>
          <w:kern w:val="0"/>
          <w:sz w:val="32"/>
          <w:szCs w:val="32"/>
          <w:rtl/>
          <w14:ligatures w14:val="none"/>
        </w:rPr>
        <w:t>شرط اول: طهارت لباس و محمول نمازگزار</w:t>
      </w:r>
    </w:p>
    <w:p w14:paraId="090141BE"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فصل نهم از کتاب الصلاة</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عروة الوثقی</w:t>
      </w:r>
      <w:r w:rsidRPr="009C3E2C">
        <w:rPr>
          <w:rFonts w:ascii="IRMitra" w:eastAsia="Times New Roman" w:hAnsi="IRMitra" w:cs="IRMitra"/>
          <w:kern w:val="0"/>
          <w:sz w:val="32"/>
          <w:szCs w:val="32"/>
          <w:rtl/>
          <w14:ligatures w14:val="none"/>
        </w:rPr>
        <w:t>، به شرایط لباس نمازگزار اختصاص دارد. مرحوم سید در این فصل شش شرط را برای لباس مصلی ذکر فرموده‌اند</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۱</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الاول الطهارة</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۲</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الثانی الاباحة</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۳</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الثالث ان لا یکون من اجزاء المیتة</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۴</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الرابع ان لا یکون من اجزاء ما لا یؤکل لحمه</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۵</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الخامس ان لا یکون من الذهب الخالص</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۶</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السادس ان لا یکون حریراً محضاً</w:t>
      </w:r>
    </w:p>
    <w:p w14:paraId="1043BE7D"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در خصوص شرط اول، یعنی طهارت، با توجه به اینکه مرحوم سید در کتاب الطهاره به تفصیل خصوصیات و جزئیات آن را مطرح نموده‌اند، در کتاب الصلاة مسئله را به اجمال بیان کرده و به مبحث طهارت ارجاع می‌دهند</w:t>
      </w:r>
      <w:r w:rsidRPr="009C3E2C">
        <w:rPr>
          <w:rFonts w:ascii="IRMitra" w:eastAsia="Times New Roman" w:hAnsi="IRMitra" w:cs="IRMitra"/>
          <w:kern w:val="0"/>
          <w:sz w:val="32"/>
          <w:szCs w:val="32"/>
          <w:lang w:bidi="ar"/>
          <w14:ligatures w14:val="none"/>
        </w:rPr>
        <w:t>.</w:t>
      </w:r>
    </w:p>
    <w:p w14:paraId="11EF7830"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الاول: الطهارة فی جمیع لباسه عدا ما لا تتم فیه الصلاة منفرداً، بل و کذا فی محموله علی ما عرفت تفصیله فی باب الطهارة</w:t>
      </w:r>
      <w:r w:rsidRPr="009C3E2C">
        <w:rPr>
          <w:rFonts w:ascii="IRMitra" w:eastAsia="Times New Roman" w:hAnsi="IRMitra" w:cs="IRMitra"/>
          <w:kern w:val="0"/>
          <w:sz w:val="32"/>
          <w:szCs w:val="32"/>
          <w:lang w:bidi="ar"/>
          <w14:ligatures w14:val="none"/>
        </w:rPr>
        <w:t>.</w:t>
      </w:r>
    </w:p>
    <w:p w14:paraId="2AE27473"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 xml:space="preserve">ایشان فرموده‌اند که شرط صحت نماز این است که جمیع لباس نمازگزار طاهر باشد؛ اعم از آنکه ساتر بالفعل باشد — مانند لباس‌های زیر برای مردان که ساتر بالفعل هستند — و لباسی که ساتر بالفعل نیست، مانند کت یا عبایی که روی قبا و لباس‌های دیگر پوشیده می‌شود و ستر بالفعل </w:t>
      </w:r>
      <w:r w:rsidRPr="009C3E2C">
        <w:rPr>
          <w:rFonts w:ascii="IRMitra" w:eastAsia="Times New Roman" w:hAnsi="IRMitra" w:cs="IRMitra"/>
          <w:kern w:val="0"/>
          <w:sz w:val="32"/>
          <w:szCs w:val="32"/>
          <w:rtl/>
          <w14:ligatures w14:val="none"/>
        </w:rPr>
        <w:lastRenderedPageBreak/>
        <w:t>توسط لباس‌های دیگر محقق شده است. عبارت</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الطهارة فی جمیع لباسه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اشاره به این دارد که چه لباس، ساتر باشد و چه غیر ساتر، باید طاهر باشد</w:t>
      </w:r>
      <w:r w:rsidRPr="009C3E2C">
        <w:rPr>
          <w:rFonts w:ascii="IRMitra" w:eastAsia="Times New Roman" w:hAnsi="IRMitra" w:cs="IRMitra"/>
          <w:kern w:val="0"/>
          <w:sz w:val="32"/>
          <w:szCs w:val="32"/>
          <w:lang w:bidi="ar"/>
          <w14:ligatures w14:val="none"/>
        </w:rPr>
        <w:t>.</w:t>
      </w:r>
    </w:p>
    <w:p w14:paraId="4C9A1D4B"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سپس استثنائی را ذکر می‌کنند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عدا ما لا تتم فیه الصلاة منفرداً</w:t>
      </w:r>
      <w:r w:rsidRPr="009C3E2C">
        <w:rPr>
          <w:rFonts w:ascii="IRMitra" w:eastAsia="Times New Roman" w:hAnsi="IRMitra" w:cs="IRMitra"/>
          <w:kern w:val="0"/>
          <w:sz w:val="32"/>
          <w:szCs w:val="32"/>
          <w:rtl/>
          <w14:ligatures w14:val="none"/>
        </w:rPr>
        <w:t>؛ مگر لباس‌هایی که به تنهایی برای اقامه نماز کافی نیستند؛ یعنی به دلیل کوچکی، قابلیت پوشاندن عورتین مرد را ندارند. از این موارد به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لا تتم فیه الصلاة</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تعبیر می‌شود، مانند عرقچین و کلاه. غیر از این موارد، سایر لباس‌های نمازگزار باید طاهر باشد</w:t>
      </w:r>
      <w:r w:rsidRPr="009C3E2C">
        <w:rPr>
          <w:rFonts w:ascii="IRMitra" w:eastAsia="Times New Roman" w:hAnsi="IRMitra" w:cs="IRMitra"/>
          <w:kern w:val="0"/>
          <w:sz w:val="32"/>
          <w:szCs w:val="32"/>
          <w:lang w:bidi="ar"/>
          <w14:ligatures w14:val="none"/>
        </w:rPr>
        <w:t>.</w:t>
      </w:r>
    </w:p>
    <w:p w14:paraId="4F62A4F4"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در ادامه می‌افزایند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بل و کذا فی محموله</w:t>
      </w:r>
      <w:r w:rsidRPr="009C3E2C">
        <w:rPr>
          <w:rFonts w:ascii="IRMitra" w:eastAsia="Times New Roman" w:hAnsi="IRMitra" w:cs="IRMitra"/>
          <w:kern w:val="0"/>
          <w:sz w:val="32"/>
          <w:szCs w:val="32"/>
          <w:rtl/>
          <w14:ligatures w14:val="none"/>
        </w:rPr>
        <w:t>؛ یعنی آنچه نمازگزار در حال نماز با خود حمل می‌کند نیز باید طاهر باشد، ولو اینکه ملبوس نباشد و صرفاً محمول باشد، مانند چیزی که در جیب خود می‌گذارد. تفصیل این مباحث را نیز به کتاب الطهاره ارجاع می‌دهند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علی ما عرفت تفصیله فی باب الطهاره</w:t>
      </w:r>
      <w:r w:rsidRPr="009C3E2C">
        <w:rPr>
          <w:rFonts w:ascii="IRMitra" w:eastAsia="Times New Roman" w:hAnsi="IRMitra" w:cs="IRMitra"/>
          <w:kern w:val="0"/>
          <w:sz w:val="32"/>
          <w:szCs w:val="32"/>
          <w:lang w:bidi="ar"/>
          <w14:ligatures w14:val="none"/>
        </w:rPr>
        <w:t>.</w:t>
      </w:r>
    </w:p>
    <w:p w14:paraId="165F1543" w14:textId="77777777" w:rsidR="009C3E2C" w:rsidRPr="009C3E2C" w:rsidRDefault="009C3E2C" w:rsidP="009C3E2C">
      <w:pPr>
        <w:bidi/>
        <w:rPr>
          <w:rFonts w:ascii="IRMitra" w:eastAsia="Times New Roman" w:hAnsi="IRMitra" w:cs="IRMitra"/>
          <w:b/>
          <w:bCs/>
          <w:kern w:val="0"/>
          <w:sz w:val="32"/>
          <w:szCs w:val="32"/>
          <w:lang w:bidi="ar"/>
          <w14:ligatures w14:val="none"/>
        </w:rPr>
      </w:pPr>
      <w:r w:rsidRPr="009C3E2C">
        <w:rPr>
          <w:rFonts w:ascii="IRMitra" w:eastAsia="Times New Roman" w:hAnsi="IRMitra" w:cs="IRMitra"/>
          <w:b/>
          <w:bCs/>
          <w:kern w:val="0"/>
          <w:sz w:val="32"/>
          <w:szCs w:val="32"/>
          <w:rtl/>
          <w14:ligatures w14:val="none"/>
        </w:rPr>
        <w:t>جهات سه‌گانه بحث در شرطیت طهارت</w:t>
      </w:r>
    </w:p>
    <w:p w14:paraId="58BF5F0A"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گرچه بحث تفصیلی شرط طهارت به کتاب الطهاره موکول شده و اعلامی همچون مرحوم آیت‌الله حکیم و مرحوم آیت‌الله خویی در کتاب الصلاة به این بحث نپرداخته‌اند، اما با توجه به عبارت مرحوم سید در اینجا، لازم است بحث در سه جهت پیگیری شود</w:t>
      </w:r>
      <w:r w:rsidRPr="009C3E2C">
        <w:rPr>
          <w:rFonts w:ascii="IRMitra" w:eastAsia="Times New Roman" w:hAnsi="IRMitra" w:cs="IRMitra"/>
          <w:kern w:val="0"/>
          <w:sz w:val="32"/>
          <w:szCs w:val="32"/>
          <w:lang w:bidi="ar"/>
          <w14:ligatures w14:val="none"/>
        </w:rPr>
        <w:t>:</w:t>
      </w:r>
    </w:p>
    <w:p w14:paraId="40ADE936"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lang w:bidi="fa-IR"/>
          <w14:ligatures w14:val="none"/>
        </w:rPr>
        <w:t>۱</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جهت اول، اصل اشتراط طهارت در لباس مصلی است</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۲</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جهت دوم، استثناء</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لا تتم فیه الصلاة منفرداً</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از این شرط است</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۳</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جهت سوم، بحث از شرطیت یا عدم شرطیت طهارت در محمولِ نمازگزار است</w:t>
      </w:r>
      <w:r w:rsidRPr="009C3E2C">
        <w:rPr>
          <w:rFonts w:ascii="IRMitra" w:eastAsia="Times New Roman" w:hAnsi="IRMitra" w:cs="IRMitra"/>
          <w:kern w:val="0"/>
          <w:sz w:val="32"/>
          <w:szCs w:val="32"/>
          <w:lang w:bidi="ar"/>
          <w14:ligatures w14:val="none"/>
        </w:rPr>
        <w:t>.</w:t>
      </w:r>
    </w:p>
    <w:p w14:paraId="6AD889A4"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به مقداری که مرحوم سید در این مقام اشاره کرده‌اند، این سه جهت نیازمند بررسی است</w:t>
      </w:r>
      <w:r w:rsidRPr="009C3E2C">
        <w:rPr>
          <w:rFonts w:ascii="IRMitra" w:eastAsia="Times New Roman" w:hAnsi="IRMitra" w:cs="IRMitra"/>
          <w:kern w:val="0"/>
          <w:sz w:val="32"/>
          <w:szCs w:val="32"/>
          <w:lang w:bidi="ar"/>
          <w14:ligatures w14:val="none"/>
        </w:rPr>
        <w:t>.</w:t>
      </w:r>
    </w:p>
    <w:p w14:paraId="10254E4B" w14:textId="77777777" w:rsidR="009C3E2C" w:rsidRPr="009C3E2C" w:rsidRDefault="009C3E2C" w:rsidP="009C3E2C">
      <w:pPr>
        <w:bidi/>
        <w:rPr>
          <w:rFonts w:ascii="IRMitra" w:eastAsia="Times New Roman" w:hAnsi="IRMitra" w:cs="IRMitra"/>
          <w:b/>
          <w:bCs/>
          <w:kern w:val="0"/>
          <w:sz w:val="32"/>
          <w:szCs w:val="32"/>
          <w:lang w:bidi="ar"/>
          <w14:ligatures w14:val="none"/>
        </w:rPr>
      </w:pPr>
      <w:r w:rsidRPr="009C3E2C">
        <w:rPr>
          <w:rFonts w:ascii="IRMitra" w:eastAsia="Times New Roman" w:hAnsi="IRMitra" w:cs="IRMitra"/>
          <w:b/>
          <w:bCs/>
          <w:kern w:val="0"/>
          <w:sz w:val="32"/>
          <w:szCs w:val="32"/>
          <w:rtl/>
          <w14:ligatures w14:val="none"/>
        </w:rPr>
        <w:t>جهت اول: اصل اشتراط طهارت در لباس مصلی</w:t>
      </w:r>
    </w:p>
    <w:p w14:paraId="02395483"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lastRenderedPageBreak/>
        <w:t>در جهت اول، که اصل اشتراط طهارت در جمیع لباس مصلی (اعم از ساتر و غیر ساتر) است، مرحوم سید در کتاب الطهاره چنین می‌فرمایند</w:t>
      </w:r>
      <w:r w:rsidRPr="009C3E2C">
        <w:rPr>
          <w:rFonts w:ascii="IRMitra" w:eastAsia="Times New Roman" w:hAnsi="IRMitra" w:cs="IRMitra"/>
          <w:kern w:val="0"/>
          <w:sz w:val="32"/>
          <w:szCs w:val="32"/>
          <w:lang w:bidi="ar"/>
          <w14:ligatures w14:val="none"/>
        </w:rPr>
        <w:t>:</w:t>
      </w:r>
    </w:p>
    <w:p w14:paraId="6C6BE115"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یشترط فی صحة الصلاة واجبةً کانت او مندوبةً ازالة النجاسة عن البدن حتی الظفر و الشعر و اللباس ساتراً کان او غیر ساتر عدا ما سیجیء من مثل الجورب و نحوه مما لا تتم الصلاة فیه</w:t>
      </w:r>
      <w:r w:rsidRPr="009C3E2C">
        <w:rPr>
          <w:rFonts w:ascii="IRMitra" w:eastAsia="Times New Roman" w:hAnsi="IRMitra" w:cs="IRMitra"/>
          <w:kern w:val="0"/>
          <w:sz w:val="32"/>
          <w:szCs w:val="32"/>
          <w:lang w:bidi="ar"/>
          <w14:ligatures w14:val="none"/>
        </w:rPr>
        <w:t>.</w:t>
      </w:r>
    </w:p>
    <w:p w14:paraId="01A6C504"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در این عبارت تصریح شده است که در صحت نماز — چه واجب و چه مستحب — ازاله نجاست از جمیع لباس، اعم از آنکه ساتر بالفعل باشد یا نباشد، شرط است. اصل شرطیت طهارت در لباس به نحو مطلق، مورد اتفاق و تسالم فقهاست و در آن خلافی وجود ندارد</w:t>
      </w:r>
      <w:r w:rsidRPr="009C3E2C">
        <w:rPr>
          <w:rFonts w:ascii="IRMitra" w:eastAsia="Times New Roman" w:hAnsi="IRMitra" w:cs="IRMitra"/>
          <w:kern w:val="0"/>
          <w:sz w:val="32"/>
          <w:szCs w:val="32"/>
          <w:lang w:bidi="ar"/>
          <w14:ligatures w14:val="none"/>
        </w:rPr>
        <w:t>.</w:t>
      </w:r>
    </w:p>
    <w:p w14:paraId="75E0E186" w14:textId="513ABF95"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اما پرسش این است که آیا علاوه بر اتفاق و تسالم، می‌توان از ادله لفظیه و روایات نیز شرطیت طهارت لباس را استفاده کرد</w:t>
      </w:r>
      <w:r w:rsidR="00FB249B">
        <w:rPr>
          <w:rFonts w:ascii="IRMitra" w:eastAsia="Times New Roman" w:hAnsi="IRMitra" w:cs="IRMitra" w:hint="cs"/>
          <w:kern w:val="0"/>
          <w:sz w:val="32"/>
          <w:szCs w:val="32"/>
          <w:rtl/>
          <w14:ligatures w14:val="none"/>
        </w:rPr>
        <w:t xml:space="preserve"> يا خير </w:t>
      </w:r>
      <w:r w:rsidRPr="009C3E2C">
        <w:rPr>
          <w:rFonts w:ascii="IRMitra" w:eastAsia="Times New Roman" w:hAnsi="IRMitra" w:cs="IRMitra"/>
          <w:kern w:val="0"/>
          <w:sz w:val="32"/>
          <w:szCs w:val="32"/>
          <w:rtl/>
          <w14:ligatures w14:val="none"/>
        </w:rPr>
        <w:t>؟ پاسخ آن است که روایت خاصی که به طور مطلق و کلی بیان کند لباس نمازگزار باید از جمیع انواع نجاسات طاهر باشد، در دست نیست. با این حال، به دو تقریب می‌توان برای اثبات این شرط به روایات استدلال کرد</w:t>
      </w:r>
      <w:r w:rsidRPr="009C3E2C">
        <w:rPr>
          <w:rFonts w:ascii="IRMitra" w:eastAsia="Times New Roman" w:hAnsi="IRMitra" w:cs="IRMitra"/>
          <w:kern w:val="0"/>
          <w:sz w:val="32"/>
          <w:szCs w:val="32"/>
          <w:lang w:bidi="ar"/>
          <w14:ligatures w14:val="none"/>
        </w:rPr>
        <w:t>.</w:t>
      </w:r>
    </w:p>
    <w:p w14:paraId="4F38BEED" w14:textId="77777777" w:rsidR="009C3E2C" w:rsidRPr="009C3E2C" w:rsidRDefault="009C3E2C" w:rsidP="009C3E2C">
      <w:pPr>
        <w:bidi/>
        <w:rPr>
          <w:rFonts w:ascii="IRMitra" w:eastAsia="Times New Roman" w:hAnsi="IRMitra" w:cs="IRMitra"/>
          <w:b/>
          <w:bCs/>
          <w:kern w:val="0"/>
          <w:sz w:val="32"/>
          <w:szCs w:val="32"/>
          <w:lang w:bidi="ar"/>
          <w14:ligatures w14:val="none"/>
        </w:rPr>
      </w:pPr>
      <w:r w:rsidRPr="009C3E2C">
        <w:rPr>
          <w:rFonts w:ascii="IRMitra" w:eastAsia="Times New Roman" w:hAnsi="IRMitra" w:cs="IRMitra"/>
          <w:b/>
          <w:bCs/>
          <w:kern w:val="0"/>
          <w:sz w:val="32"/>
          <w:szCs w:val="32"/>
          <w:rtl/>
          <w14:ligatures w14:val="none"/>
        </w:rPr>
        <w:t>بررسی ادله لفظی: صحیحتین زراره</w:t>
      </w:r>
    </w:p>
    <w:p w14:paraId="4F016908"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برخی معتقدند از دو صحیحه زراره می‌توان شرطیت طهارت بدن و لباس از هر نوع نجس و متنجسی را استفاده کرد. از جمله مرحوم آیت‌الله بروجردی در کتاب الصلاة خود فرموده‌اند که از بعضی از این روایات می‌توان چنین استفاده‌ای کرد. اما این استدلال محل اشکال و مناقشه است</w:t>
      </w:r>
      <w:r w:rsidRPr="009C3E2C">
        <w:rPr>
          <w:rFonts w:ascii="IRMitra" w:eastAsia="Times New Roman" w:hAnsi="IRMitra" w:cs="IRMitra"/>
          <w:kern w:val="0"/>
          <w:sz w:val="32"/>
          <w:szCs w:val="32"/>
          <w:lang w:bidi="ar"/>
          <w14:ligatures w14:val="none"/>
        </w:rPr>
        <w:t>.</w:t>
      </w:r>
    </w:p>
    <w:p w14:paraId="04273712" w14:textId="6E2D5A6E" w:rsidR="009C3E2C" w:rsidRPr="009C3E2C" w:rsidRDefault="009C3E2C" w:rsidP="00FB249B">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صحیحه اولی که برای شرطیت طهارت لباس از مطلق نجس و متنجس به آن استدلال شده، همان صحیحه دوم زراره در بحث استصحاب است که صاحب</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وسائل الشیعه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 xml:space="preserve">آن را در مواضع متعددی، از جمله در باب </w:t>
      </w:r>
      <w:r w:rsidRPr="009C3E2C">
        <w:rPr>
          <w:rFonts w:ascii="IRMitra" w:eastAsia="Times New Roman" w:hAnsi="IRMitra" w:cs="IRMitra"/>
          <w:kern w:val="0"/>
          <w:sz w:val="32"/>
          <w:szCs w:val="32"/>
          <w:rtl/>
          <w:lang w:bidi="fa-IR"/>
          <w14:ligatures w14:val="none"/>
        </w:rPr>
        <w:t>۴۲</w:t>
      </w:r>
      <w:r w:rsidRPr="009C3E2C">
        <w:rPr>
          <w:rFonts w:ascii="IRMitra" w:eastAsia="Times New Roman" w:hAnsi="IRMitra" w:cs="IRMitra"/>
          <w:kern w:val="0"/>
          <w:sz w:val="32"/>
          <w:szCs w:val="32"/>
          <w:rtl/>
          <w14:ligatures w14:val="none"/>
        </w:rPr>
        <w:t xml:space="preserve"> از ابواب نجاسات، حدیث دوم، نقل کرده است</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محمد بن الحسن باسناده عن الحسین بن سعید عن حماد عن حر</w:t>
      </w:r>
      <w:r w:rsidR="00FB249B">
        <w:rPr>
          <w:rFonts w:ascii="IRMitra" w:eastAsia="Times New Roman" w:hAnsi="IRMitra" w:cs="IRMitra" w:hint="cs"/>
          <w:i/>
          <w:iCs/>
          <w:kern w:val="0"/>
          <w:sz w:val="32"/>
          <w:szCs w:val="32"/>
          <w:rtl/>
          <w14:ligatures w14:val="none"/>
        </w:rPr>
        <w:t>یز</w:t>
      </w:r>
      <w:r w:rsidRPr="009C3E2C">
        <w:rPr>
          <w:rFonts w:ascii="IRMitra" w:eastAsia="Times New Roman" w:hAnsi="IRMitra" w:cs="IRMitra"/>
          <w:i/>
          <w:iCs/>
          <w:kern w:val="0"/>
          <w:sz w:val="32"/>
          <w:szCs w:val="32"/>
          <w:rtl/>
          <w14:ligatures w14:val="none"/>
        </w:rPr>
        <w:t xml:space="preserve"> عن زراره</w:t>
      </w:r>
      <w:r w:rsidRPr="009C3E2C">
        <w:rPr>
          <w:rFonts w:ascii="IRMitra" w:eastAsia="Times New Roman" w:hAnsi="IRMitra" w:cs="IRMitra"/>
          <w:kern w:val="0"/>
          <w:sz w:val="32"/>
          <w:szCs w:val="32"/>
          <w:lang w:bidi="ar"/>
          <w14:ligatures w14:val="none"/>
        </w:rPr>
        <w:t>.</w:t>
      </w:r>
    </w:p>
    <w:p w14:paraId="2F11238A" w14:textId="41368C29" w:rsidR="00FB249B" w:rsidRDefault="009C3E2C" w:rsidP="00FB249B">
      <w:pPr>
        <w:bidi/>
        <w:rPr>
          <w:rFonts w:ascii="IRMitra" w:eastAsia="Times New Roman" w:hAnsi="IRMitra" w:cs="IRMitra" w:hint="cs"/>
          <w:kern w:val="0"/>
          <w:sz w:val="32"/>
          <w:szCs w:val="32"/>
          <w:rtl/>
          <w:lang w:bidi="ar"/>
          <w14:ligatures w14:val="none"/>
        </w:rPr>
      </w:pPr>
      <w:r w:rsidRPr="009C3E2C">
        <w:rPr>
          <w:rFonts w:ascii="IRMitra" w:eastAsia="Times New Roman" w:hAnsi="IRMitra" w:cs="IRMitra"/>
          <w:kern w:val="0"/>
          <w:sz w:val="32"/>
          <w:szCs w:val="32"/>
          <w:rtl/>
          <w14:ligatures w14:val="none"/>
        </w:rPr>
        <w:lastRenderedPageBreak/>
        <w:t>زراره در این روایت می‌گوید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قُلْتُ: أَصَابَ ثَوْبِي دَمُ رُعَافٍ أَوْ غَيْرُهُ أَوْ شَيْ‏ءٌ مِنْ مَنِيٍّ، فَعَلَّمْتُ أَثَرَهُ إِلَى أَنْ أُصِيبَ لَهُ الْمَاءَ فَأَصَبْتُ وَ حَضَرَتِ الصَّلَاةُ وَ نَسِيتُ أَنَّ بِثَوْبِي شَيْئاً وَ صَلَّيْتُ ثُمَّ إِنِّي ذَكَرْتُ بَعْدَ ذَلِكَ</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lang w:bidi="ar"/>
          <w14:ligatures w14:val="none"/>
        </w:rPr>
        <w:br/>
      </w:r>
      <w:r w:rsidR="00FB249B">
        <w:rPr>
          <w:rFonts w:ascii="IRMitra" w:eastAsia="Times New Roman" w:hAnsi="IRMitra" w:cs="IRMitra" w:hint="cs"/>
          <w:kern w:val="0"/>
          <w:sz w:val="32"/>
          <w:szCs w:val="32"/>
          <w:rtl/>
          <w:lang w:bidi="ar"/>
          <w14:ligatures w14:val="none"/>
        </w:rPr>
        <w:t>(</w:t>
      </w:r>
      <w:r w:rsidRPr="009C3E2C">
        <w:rPr>
          <w:rFonts w:ascii="IRMitra" w:eastAsia="Times New Roman" w:hAnsi="IRMitra" w:cs="IRMitra"/>
          <w:kern w:val="0"/>
          <w:sz w:val="32"/>
          <w:szCs w:val="32"/>
          <w:rtl/>
          <w14:ligatures w14:val="none"/>
        </w:rPr>
        <w:t>به امام عرض کردم: خون دماغ یا غیر آن، یا مقداری منی به لباسم اصابت کرد. جای آن را علامت گذاشتم تا آبی برای شستن بیابم. آب یافتم اما هنگام نماز فراموش کردم که لباسم نجس است و با همان لباس نماز خواندم. پس از نماز به یاد آوردم. حکم چیست؟</w:t>
      </w:r>
      <w:r w:rsidR="00FB249B">
        <w:rPr>
          <w:rFonts w:ascii="IRMitra" w:eastAsia="Times New Roman" w:hAnsi="IRMitra" w:cs="IRMitra" w:hint="cs"/>
          <w:kern w:val="0"/>
          <w:sz w:val="32"/>
          <w:szCs w:val="32"/>
          <w:rtl/>
          <w14:ligatures w14:val="none"/>
        </w:rPr>
        <w:t>)</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14:ligatures w14:val="none"/>
        </w:rPr>
        <w:t>امام علیه السلام در پاسخ فرمودند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تُعِيدُ الصَّلَاةَ وَ تَغْسِلُهُ</w:t>
      </w:r>
      <w:r w:rsidRPr="009C3E2C">
        <w:rPr>
          <w:rFonts w:ascii="IRMitra" w:eastAsia="Times New Roman" w:hAnsi="IRMitra" w:cs="IRMitra"/>
          <w:kern w:val="0"/>
          <w:sz w:val="32"/>
          <w:szCs w:val="32"/>
          <w:lang w:bidi="ar"/>
          <w14:ligatures w14:val="none"/>
        </w:rPr>
        <w:t xml:space="preserve">. </w:t>
      </w:r>
      <w:r w:rsidR="00FB249B">
        <w:rPr>
          <w:rFonts w:ascii="IRMitra" w:eastAsia="Times New Roman" w:hAnsi="IRMitra" w:cs="IRMitra" w:hint="cs"/>
          <w:kern w:val="0"/>
          <w:sz w:val="32"/>
          <w:szCs w:val="32"/>
          <w:rtl/>
          <w:lang w:bidi="ar"/>
          <w14:ligatures w14:val="none"/>
        </w:rPr>
        <w:t>(</w:t>
      </w:r>
      <w:r w:rsidRPr="009C3E2C">
        <w:rPr>
          <w:rFonts w:ascii="IRMitra" w:eastAsia="Times New Roman" w:hAnsi="IRMitra" w:cs="IRMitra"/>
          <w:kern w:val="0"/>
          <w:sz w:val="32"/>
          <w:szCs w:val="32"/>
          <w:rtl/>
          <w14:ligatures w14:val="none"/>
        </w:rPr>
        <w:t>هم باید نماز را اعاده کنی و هم لباست را بشویی</w:t>
      </w:r>
      <w:r w:rsidR="00FB249B">
        <w:rPr>
          <w:rFonts w:ascii="IRMitra" w:eastAsia="Times New Roman" w:hAnsi="IRMitra" w:cs="IRMitra" w:hint="cs"/>
          <w:kern w:val="0"/>
          <w:sz w:val="32"/>
          <w:szCs w:val="32"/>
          <w:rtl/>
          <w:lang w:bidi="ar"/>
          <w14:ligatures w14:val="none"/>
        </w:rPr>
        <w:t>).</w:t>
      </w:r>
    </w:p>
    <w:p w14:paraId="765CFD13" w14:textId="3F8D3E86" w:rsidR="009C3E2C" w:rsidRPr="009C3E2C" w:rsidRDefault="009C3E2C" w:rsidP="00FB249B">
      <w:pPr>
        <w:bidi/>
        <w:rPr>
          <w:rFonts w:ascii="IRMitra" w:eastAsia="Times New Roman" w:hAnsi="IRMitra" w:cs="IRMitra"/>
          <w:kern w:val="0"/>
          <w:sz w:val="32"/>
          <w:szCs w:val="32"/>
          <w:lang w:bidi="ar"/>
          <w14:ligatures w14:val="none"/>
        </w:rPr>
      </w:pPr>
      <w:r w:rsidRPr="009C3E2C">
        <w:rPr>
          <w:rFonts w:ascii="IRMitra" w:eastAsia="Times New Roman" w:hAnsi="IRMitra" w:cs="IRMitra"/>
          <w:b/>
          <w:bCs/>
          <w:kern w:val="0"/>
          <w:sz w:val="32"/>
          <w:szCs w:val="32"/>
          <w:rtl/>
          <w14:ligatures w14:val="none"/>
        </w:rPr>
        <w:t>تقریب استدلال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دلالت این روایت بر شرطیت طهارت از نجاست دم و منی واضح است. اما برای تعمیم آن به کل نجاسات، چنین تقریب شده است که عبارت</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أَصَابَ ثَوْبِي دَمُ رُعَافٍ أَوْ غَيْرُهُ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را باید این‌گونه تحلیل کرد: اگر ضمیر در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غَيْرُهُ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به «دم» (مضاف) بازگردد و کلمه «غیر» عطف بر «دم» باشد (یعنی</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غَيْرُهُ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را مرفوع بخوانیم)، معنای عبارت چنین می‌شود: «خون دماغ یا غیرِ خون به لباسم اصابت کرد». «غیرِ خون» شامل سایر نجاسات می‌شود. بر این اساس، روایت بر شرطیت طهارت از کل نجاسات دلالت خواهد کرد</w:t>
      </w:r>
      <w:r w:rsidRPr="009C3E2C">
        <w:rPr>
          <w:rFonts w:ascii="IRMitra" w:eastAsia="Times New Roman" w:hAnsi="IRMitra" w:cs="IRMitra"/>
          <w:kern w:val="0"/>
          <w:sz w:val="32"/>
          <w:szCs w:val="32"/>
          <w:lang w:bidi="ar"/>
          <w14:ligatures w14:val="none"/>
        </w:rPr>
        <w:t>.</w:t>
      </w:r>
    </w:p>
    <w:p w14:paraId="6865AABA" w14:textId="305D8B2F" w:rsidR="009C3E2C" w:rsidRPr="009C3E2C" w:rsidRDefault="009C3E2C" w:rsidP="00FB249B">
      <w:pPr>
        <w:bidi/>
        <w:rPr>
          <w:rFonts w:ascii="IRMitra" w:eastAsia="Times New Roman" w:hAnsi="IRMitra" w:cs="IRMitra"/>
          <w:kern w:val="0"/>
          <w:sz w:val="32"/>
          <w:szCs w:val="32"/>
          <w:lang w:bidi="ar"/>
          <w14:ligatures w14:val="none"/>
        </w:rPr>
      </w:pPr>
      <w:r w:rsidRPr="009C3E2C">
        <w:rPr>
          <w:rFonts w:ascii="IRMitra" w:eastAsia="Times New Roman" w:hAnsi="IRMitra" w:cs="IRMitra"/>
          <w:b/>
          <w:bCs/>
          <w:kern w:val="0"/>
          <w:sz w:val="32"/>
          <w:szCs w:val="32"/>
          <w:rtl/>
          <w14:ligatures w14:val="none"/>
        </w:rPr>
        <w:t>مناقشه در استدلال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اشکال این استدلال آن است که قرائت مرفوع</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i/>
          <w:iCs/>
          <w:kern w:val="0"/>
          <w:sz w:val="32"/>
          <w:szCs w:val="32"/>
          <w:rtl/>
          <w14:ligatures w14:val="none"/>
        </w:rPr>
        <w:t>غَيْرُهُ</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و بازگشت ضمیر به مضاف، تعین ندارد. احتمال دیگر آن است که «غیر» عطف بر «رعاف» (مضاف‌الیه) باشد و مجرور خوانده شود</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i/>
          <w:iCs/>
          <w:kern w:val="0"/>
          <w:sz w:val="32"/>
          <w:szCs w:val="32"/>
          <w:rtl/>
          <w14:ligatures w14:val="none"/>
        </w:rPr>
        <w:t>غَيْرِهِ</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در این صورت، معنای عبارت چنین می‌شود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أَصَابَ ثَوْبِي دَمُ رُعَافٍ أَوْ دمُ غَيْررُعَافٍ</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(خون دماغ یا خونِ غیر دماغ). طبق این احتمال، سؤال زراره فقط محدود به انواع خون و منی بوده و روایت دلالتی بر شرطیت طهارت از سایر نجاسات نخواهد داشت. با وجود این احتمال، استدلال به این صحیحه برای مانعیت مطلق نجاست، تمام نیست</w:t>
      </w:r>
      <w:r w:rsidRPr="009C3E2C">
        <w:rPr>
          <w:rFonts w:ascii="IRMitra" w:eastAsia="Times New Roman" w:hAnsi="IRMitra" w:cs="IRMitra"/>
          <w:kern w:val="0"/>
          <w:sz w:val="32"/>
          <w:szCs w:val="32"/>
          <w:lang w:bidi="ar"/>
          <w14:ligatures w14:val="none"/>
        </w:rPr>
        <w:t>.</w:t>
      </w:r>
    </w:p>
    <w:p w14:paraId="1F537FE8"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b/>
          <w:bCs/>
          <w:kern w:val="0"/>
          <w:sz w:val="32"/>
          <w:szCs w:val="32"/>
          <w:rtl/>
          <w14:ligatures w14:val="none"/>
        </w:rPr>
        <w:lastRenderedPageBreak/>
        <w:t>سوال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یعنی زراره بین انحاء نجاسات فرق می‌گذاشته است؟ این محتمل نیست</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b/>
          <w:bCs/>
          <w:kern w:val="0"/>
          <w:sz w:val="32"/>
          <w:szCs w:val="32"/>
          <w:rtl/>
          <w14:ligatures w14:val="none"/>
        </w:rPr>
        <w:t>جواب</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بله، این احتمال وجود دارد. اکنون برای ما احکام واضح شده است، اما برای زراره در زمان پرسش، ممکن بود حکم روشن نباشد. از آنجا که احتمال عطف بر مضاف‌الیه وجداناً وجود دارد و عطف بر مضاف تعین ندارد، استدلال به این صحیحه تمام نیست</w:t>
      </w:r>
      <w:r w:rsidRPr="009C3E2C">
        <w:rPr>
          <w:rFonts w:ascii="IRMitra" w:eastAsia="Times New Roman" w:hAnsi="IRMitra" w:cs="IRMitra"/>
          <w:kern w:val="0"/>
          <w:sz w:val="32"/>
          <w:szCs w:val="32"/>
          <w:lang w:bidi="ar"/>
          <w14:ligatures w14:val="none"/>
        </w:rPr>
        <w:t>.</w:t>
      </w:r>
    </w:p>
    <w:p w14:paraId="615EB50E"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بلکه مرحوم آیت‌الله تبریزی فرموده‌اند در این روایت قرینه‌ای وجود دارد که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غیر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عطف بر مضاف‌الیه است. قرینه آن است که زراره عبارت</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أَوْ غَيْرهُ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را پیش از</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أَوْ شَيْ‏ءٌ مِنْ مَنِيٍّ</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ذکر کرده است. اگر مقصود او سؤال از دم، منی و سایر نجاسات بود، قاعدتاً باید عبارت «غیر» را پس از ذکر منی می‌آورد. اینکه این کلمه را بین «دم رعاف» و «منی» قرار داده، نشان می‌دهد که مراد او همان «دم غیر رعاف» بوده است. در واقع، سؤال زراره از دو نجاستِ دم (با دو قسم رعاف و غیر رعاف) و منی بوده است</w:t>
      </w:r>
      <w:r w:rsidRPr="009C3E2C">
        <w:rPr>
          <w:rFonts w:ascii="IRMitra" w:eastAsia="Times New Roman" w:hAnsi="IRMitra" w:cs="IRMitra"/>
          <w:kern w:val="0"/>
          <w:sz w:val="32"/>
          <w:szCs w:val="32"/>
          <w:lang w:bidi="ar"/>
          <w14:ligatures w14:val="none"/>
        </w:rPr>
        <w:t>.</w:t>
      </w:r>
    </w:p>
    <w:p w14:paraId="4062A6D6" w14:textId="77777777" w:rsidR="00FB249B" w:rsidRDefault="009C3E2C" w:rsidP="009C3E2C">
      <w:pPr>
        <w:bidi/>
        <w:rPr>
          <w:rFonts w:ascii="IRMitra" w:eastAsia="Times New Roman" w:hAnsi="IRMitra" w:cs="IRMitra" w:hint="cs"/>
          <w:kern w:val="0"/>
          <w:sz w:val="32"/>
          <w:szCs w:val="32"/>
          <w:rtl/>
          <w14:ligatures w14:val="none"/>
        </w:rPr>
      </w:pPr>
      <w:r w:rsidRPr="009C3E2C">
        <w:rPr>
          <w:rFonts w:ascii="IRMitra" w:eastAsia="Times New Roman" w:hAnsi="IRMitra" w:cs="IRMitra"/>
          <w:kern w:val="0"/>
          <w:sz w:val="32"/>
          <w:szCs w:val="32"/>
          <w:rtl/>
          <w14:ligatures w14:val="none"/>
        </w:rPr>
        <w:t xml:space="preserve">البته این بیان مرحوم آقای تبریزی، گرچه </w:t>
      </w:r>
      <w:r w:rsidR="00FB249B">
        <w:rPr>
          <w:rFonts w:ascii="IRMitra" w:eastAsia="Times New Roman" w:hAnsi="IRMitra" w:cs="IRMitra" w:hint="cs"/>
          <w:kern w:val="0"/>
          <w:sz w:val="32"/>
          <w:szCs w:val="32"/>
          <w:rtl/>
          <w14:ligatures w14:val="none"/>
        </w:rPr>
        <w:t xml:space="preserve">به عنوان </w:t>
      </w:r>
      <w:r w:rsidRPr="009C3E2C">
        <w:rPr>
          <w:rFonts w:ascii="IRMitra" w:eastAsia="Times New Roman" w:hAnsi="IRMitra" w:cs="IRMitra"/>
          <w:kern w:val="0"/>
          <w:sz w:val="32"/>
          <w:szCs w:val="32"/>
          <w:rtl/>
          <w14:ligatures w14:val="none"/>
        </w:rPr>
        <w:t xml:space="preserve">مؤید </w:t>
      </w:r>
      <w:r w:rsidR="00FB249B">
        <w:rPr>
          <w:rFonts w:ascii="IRMitra" w:eastAsia="Times New Roman" w:hAnsi="IRMitra" w:cs="IRMitra" w:hint="cs"/>
          <w:kern w:val="0"/>
          <w:sz w:val="32"/>
          <w:szCs w:val="32"/>
          <w:rtl/>
          <w14:ligatures w14:val="none"/>
        </w:rPr>
        <w:t xml:space="preserve">ذکر شده </w:t>
      </w:r>
      <w:r w:rsidRPr="009C3E2C">
        <w:rPr>
          <w:rFonts w:ascii="IRMitra" w:eastAsia="Times New Roman" w:hAnsi="IRMitra" w:cs="IRMitra"/>
          <w:kern w:val="0"/>
          <w:sz w:val="32"/>
          <w:szCs w:val="32"/>
          <w:rtl/>
          <w14:ligatures w14:val="none"/>
        </w:rPr>
        <w:t>است، اما قابل مناقشه است. زیرا حتی اگر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غَيْرُهُ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به معنای «غیر دم» باشد و عام تلقی شود، ذکر خاص</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i/>
          <w:iCs/>
          <w:kern w:val="0"/>
          <w:sz w:val="32"/>
          <w:szCs w:val="32"/>
          <w:rtl/>
          <w14:ligatures w14:val="none"/>
        </w:rPr>
        <w:t>أَوْ شَيْ‏ءٌ مِنْ مَنِيٍّ</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 xml:space="preserve">بعد از عام، رکاکت و اشکالی در کلام ایجاد نمی‌کند. گرچه چنین ترکیبی معمول نیست، اما نمی‌توان آن را قرینه‌ای قطعی بر تعین یکی از دو احتمال دانست. </w:t>
      </w:r>
    </w:p>
    <w:p w14:paraId="0954C8C2" w14:textId="5993D2DB" w:rsidR="009C3E2C" w:rsidRPr="009C3E2C" w:rsidRDefault="009C3E2C" w:rsidP="00FB249B">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نتیجه</w:t>
      </w:r>
      <w:r w:rsidR="00FB249B">
        <w:rPr>
          <w:rFonts w:ascii="IRMitra" w:eastAsia="Times New Roman" w:hAnsi="IRMitra" w:cs="IRMitra" w:hint="cs"/>
          <w:kern w:val="0"/>
          <w:sz w:val="32"/>
          <w:szCs w:val="32"/>
          <w:rtl/>
          <w14:ligatures w14:val="none"/>
        </w:rPr>
        <w:t xml:space="preserve"> اينکه </w:t>
      </w:r>
      <w:r w:rsidRPr="009C3E2C">
        <w:rPr>
          <w:rFonts w:ascii="IRMitra" w:eastAsia="Times New Roman" w:hAnsi="IRMitra" w:cs="IRMitra"/>
          <w:kern w:val="0"/>
          <w:sz w:val="32"/>
          <w:szCs w:val="32"/>
          <w:rtl/>
          <w14:ligatures w14:val="none"/>
        </w:rPr>
        <w:t>، به دلیل وجود دو احتمال در کلمه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غیر، استدلال به این صحیحه برای مانعیت مطلق نجس، تام نیست</w:t>
      </w:r>
      <w:r w:rsidRPr="009C3E2C">
        <w:rPr>
          <w:rFonts w:ascii="IRMitra" w:eastAsia="Times New Roman" w:hAnsi="IRMitra" w:cs="IRMitra"/>
          <w:kern w:val="0"/>
          <w:sz w:val="32"/>
          <w:szCs w:val="32"/>
          <w:lang w:bidi="ar"/>
          <w14:ligatures w14:val="none"/>
        </w:rPr>
        <w:t>.</w:t>
      </w:r>
    </w:p>
    <w:p w14:paraId="14A678D2" w14:textId="2AA7FE7E" w:rsidR="009C3E2C" w:rsidRPr="009C3E2C" w:rsidRDefault="009C3E2C" w:rsidP="00FB249B">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روایت دوم زراره، که آن هم صحیحه است، در باب نهم از احکام الخلوه، حدیث اول، نقل شده است</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i/>
          <w:iCs/>
          <w:kern w:val="0"/>
          <w:sz w:val="32"/>
          <w:szCs w:val="32"/>
          <w:rtl/>
          <w14:ligatures w14:val="none"/>
        </w:rPr>
        <w:t>محمد بن الحسن باسناده عن الحسین بن سعید عن حماد عن حر</w:t>
      </w:r>
      <w:r w:rsidR="00FB249B">
        <w:rPr>
          <w:rFonts w:ascii="IRMitra" w:eastAsia="Times New Roman" w:hAnsi="IRMitra" w:cs="IRMitra" w:hint="cs"/>
          <w:i/>
          <w:iCs/>
          <w:kern w:val="0"/>
          <w:sz w:val="32"/>
          <w:szCs w:val="32"/>
          <w:rtl/>
          <w14:ligatures w14:val="none"/>
        </w:rPr>
        <w:t>يز</w:t>
      </w:r>
      <w:r w:rsidRPr="009C3E2C">
        <w:rPr>
          <w:rFonts w:ascii="IRMitra" w:eastAsia="Times New Roman" w:hAnsi="IRMitra" w:cs="IRMitra"/>
          <w:i/>
          <w:iCs/>
          <w:kern w:val="0"/>
          <w:sz w:val="32"/>
          <w:szCs w:val="32"/>
          <w:rtl/>
          <w14:ligatures w14:val="none"/>
        </w:rPr>
        <w:t>عن زراره عن ابی جعفر علیه السلام قال: لا صلاة الا بطهور و یجزیک عن الاستنجاء ثلاثة احجار بذلک جرت السنة من رسول الله صلی الله علیه و آله و اما البول فانه لا بد من غسله</w:t>
      </w:r>
      <w:r w:rsidRPr="009C3E2C">
        <w:rPr>
          <w:rFonts w:ascii="IRMitra" w:eastAsia="Times New Roman" w:hAnsi="IRMitra" w:cs="IRMitra"/>
          <w:kern w:val="0"/>
          <w:sz w:val="32"/>
          <w:szCs w:val="32"/>
          <w:lang w:bidi="ar"/>
          <w14:ligatures w14:val="none"/>
        </w:rPr>
        <w:t>.</w:t>
      </w:r>
    </w:p>
    <w:p w14:paraId="5175C88F" w14:textId="7A6665A4" w:rsidR="009C3E2C" w:rsidRPr="009C3E2C" w:rsidRDefault="009C3E2C" w:rsidP="00CC6C4F">
      <w:pPr>
        <w:bidi/>
        <w:rPr>
          <w:rFonts w:ascii="IRMitra" w:eastAsia="Times New Roman" w:hAnsi="IRMitra" w:cs="IRMitra"/>
          <w:kern w:val="0"/>
          <w:sz w:val="32"/>
          <w:szCs w:val="32"/>
          <w:lang w:bidi="ar"/>
          <w14:ligatures w14:val="none"/>
        </w:rPr>
      </w:pPr>
      <w:r w:rsidRPr="009C3E2C">
        <w:rPr>
          <w:rFonts w:ascii="IRMitra" w:eastAsia="Times New Roman" w:hAnsi="IRMitra" w:cs="IRMitra"/>
          <w:b/>
          <w:bCs/>
          <w:kern w:val="0"/>
          <w:sz w:val="32"/>
          <w:szCs w:val="32"/>
          <w:rtl/>
          <w14:ligatures w14:val="none"/>
        </w:rPr>
        <w:lastRenderedPageBreak/>
        <w:t>تقریب استدلال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برخی از فقها، از جمله مرحوم آیت‌الله بروجردی، فرموده‌اند از فقره اول این روایت</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i/>
          <w:iCs/>
          <w:kern w:val="0"/>
          <w:sz w:val="32"/>
          <w:szCs w:val="32"/>
          <w:rtl/>
          <w14:ligatures w14:val="none"/>
        </w:rPr>
        <w:t>لا صلاة الا بطهور</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می‌توان شرطیت طهارت از هر نجسی را استفاده کرد. به این تقریب که کلمه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 xml:space="preserve">اگرچه عند الاطلاق </w:t>
      </w:r>
      <w:r w:rsidR="00FB249B">
        <w:rPr>
          <w:rFonts w:ascii="IRMitra" w:eastAsia="Times New Roman" w:hAnsi="IRMitra" w:cs="IRMitra" w:hint="cs"/>
          <w:kern w:val="0"/>
          <w:sz w:val="32"/>
          <w:szCs w:val="32"/>
          <w:rtl/>
          <w14:ligatures w14:val="none"/>
        </w:rPr>
        <w:t xml:space="preserve"> انصراف به </w:t>
      </w:r>
      <w:r w:rsidRPr="009C3E2C">
        <w:rPr>
          <w:rFonts w:ascii="IRMitra" w:eastAsia="Times New Roman" w:hAnsi="IRMitra" w:cs="IRMitra"/>
          <w:kern w:val="0"/>
          <w:sz w:val="32"/>
          <w:szCs w:val="32"/>
          <w:rtl/>
          <w14:ligatures w14:val="none"/>
        </w:rPr>
        <w:t xml:space="preserve">طهارت از حدث </w:t>
      </w:r>
      <w:r w:rsidR="00CC6C4F">
        <w:rPr>
          <w:rFonts w:ascii="IRMitra" w:eastAsia="Times New Roman" w:hAnsi="IRMitra" w:cs="IRMitra" w:hint="cs"/>
          <w:kern w:val="0"/>
          <w:sz w:val="32"/>
          <w:szCs w:val="32"/>
          <w:rtl/>
          <w14:ligatures w14:val="none"/>
        </w:rPr>
        <w:t xml:space="preserve">دارد </w:t>
      </w:r>
      <w:r w:rsidRPr="009C3E2C">
        <w:rPr>
          <w:rFonts w:ascii="IRMitra" w:eastAsia="Times New Roman" w:hAnsi="IRMitra" w:cs="IRMitra"/>
          <w:kern w:val="0"/>
          <w:sz w:val="32"/>
          <w:szCs w:val="32"/>
          <w:rtl/>
          <w14:ligatures w14:val="none"/>
        </w:rPr>
        <w:t>، اما حتی اگر کسی ادعای انصراف آن به طهارت از حدث را داشته باشد، به قرینه ذیل روایت</w:t>
      </w:r>
      <w:r w:rsidRPr="009C3E2C">
        <w:rPr>
          <w:rFonts w:ascii="IRMitra" w:eastAsia="Times New Roman" w:hAnsi="IRMitra" w:cs="IRMitra"/>
          <w:kern w:val="0"/>
          <w:sz w:val="32"/>
          <w:szCs w:val="32"/>
          <w:lang w:bidi="ar"/>
          <w14:ligatures w14:val="none"/>
        </w:rPr>
        <w:t xml:space="preserve"> </w:t>
      </w:r>
      <w:r w:rsidR="00CC6C4F">
        <w:rPr>
          <w:rFonts w:ascii="IRMitra" w:eastAsia="Times New Roman" w:hAnsi="IRMitra" w:cs="IRMitra" w:hint="cs"/>
          <w:kern w:val="0"/>
          <w:sz w:val="32"/>
          <w:szCs w:val="32"/>
          <w:rtl/>
          <w:lang w:bidi="ar"/>
          <w14:ligatures w14:val="none"/>
        </w:rPr>
        <w:t xml:space="preserve">( </w:t>
      </w:r>
      <w:r w:rsidRPr="009C3E2C">
        <w:rPr>
          <w:rFonts w:ascii="IRMitra" w:eastAsia="Times New Roman" w:hAnsi="IRMitra" w:cs="IRMitra"/>
          <w:i/>
          <w:iCs/>
          <w:kern w:val="0"/>
          <w:sz w:val="32"/>
          <w:szCs w:val="32"/>
          <w:rtl/>
          <w14:ligatures w14:val="none"/>
        </w:rPr>
        <w:t>یجزیک عن الاستنجاء</w:t>
      </w:r>
      <w:r w:rsidRPr="009C3E2C">
        <w:rPr>
          <w:rFonts w:ascii="IRMitra" w:eastAsia="Times New Roman" w:hAnsi="IRMitra" w:cs="IRMitra"/>
          <w:i/>
          <w:iCs/>
          <w:kern w:val="0"/>
          <w:sz w:val="32"/>
          <w:szCs w:val="32"/>
          <w:lang w:bidi="ar"/>
          <w14:ligatures w14:val="none"/>
        </w:rPr>
        <w:t>...</w:t>
      </w:r>
      <w:r w:rsidRPr="009C3E2C">
        <w:rPr>
          <w:rFonts w:ascii="IRMitra" w:eastAsia="Times New Roman" w:hAnsi="IRMitra" w:cs="IRMitra"/>
          <w:kern w:val="0"/>
          <w:sz w:val="32"/>
          <w:szCs w:val="32"/>
          <w:rtl/>
          <w14:ligatures w14:val="none"/>
        </w:rPr>
        <w:t>،</w:t>
      </w:r>
      <w:r w:rsidR="00CC6C4F">
        <w:rPr>
          <w:rFonts w:ascii="IRMitra" w:eastAsia="Times New Roman" w:hAnsi="IRMitra" w:cs="IRMitra" w:hint="cs"/>
          <w:kern w:val="0"/>
          <w:sz w:val="32"/>
          <w:szCs w:val="32"/>
          <w:rtl/>
          <w14:ligatures w14:val="none"/>
        </w:rPr>
        <w:t>)</w:t>
      </w:r>
      <w:r w:rsidRPr="009C3E2C">
        <w:rPr>
          <w:rFonts w:ascii="IRMitra" w:eastAsia="Times New Roman" w:hAnsi="IRMitra" w:cs="IRMitra"/>
          <w:kern w:val="0"/>
          <w:sz w:val="32"/>
          <w:szCs w:val="32"/>
          <w:rtl/>
          <w14:ligatures w14:val="none"/>
        </w:rPr>
        <w:t xml:space="preserve"> مراد از</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در اینجا مطلق است و شامل طهارت از خبث نیز می‌گردد. بنابراین، صحیحه دلالت می‌کند که طهارت از هر نجاستی در نماز شرط است</w:t>
      </w:r>
      <w:r w:rsidRPr="009C3E2C">
        <w:rPr>
          <w:rFonts w:ascii="IRMitra" w:eastAsia="Times New Roman" w:hAnsi="IRMitra" w:cs="IRMitra"/>
          <w:kern w:val="0"/>
          <w:sz w:val="32"/>
          <w:szCs w:val="32"/>
          <w:lang w:bidi="ar"/>
          <w14:ligatures w14:val="none"/>
        </w:rPr>
        <w:t>.</w:t>
      </w:r>
    </w:p>
    <w:p w14:paraId="2E9BFF99" w14:textId="2E7CCD02" w:rsidR="009C3E2C" w:rsidRPr="009C3E2C" w:rsidRDefault="009C3E2C" w:rsidP="00CC6C4F">
      <w:pPr>
        <w:bidi/>
        <w:rPr>
          <w:rFonts w:ascii="IRMitra" w:eastAsia="Times New Roman" w:hAnsi="IRMitra" w:cs="IRMitra"/>
          <w:kern w:val="0"/>
          <w:sz w:val="32"/>
          <w:szCs w:val="32"/>
          <w:lang w:bidi="ar"/>
          <w14:ligatures w14:val="none"/>
        </w:rPr>
      </w:pPr>
      <w:r w:rsidRPr="009C3E2C">
        <w:rPr>
          <w:rFonts w:ascii="IRMitra" w:eastAsia="Times New Roman" w:hAnsi="IRMitra" w:cs="IRMitra"/>
          <w:b/>
          <w:bCs/>
          <w:kern w:val="0"/>
          <w:sz w:val="32"/>
          <w:szCs w:val="32"/>
          <w:rtl/>
          <w14:ligatures w14:val="none"/>
        </w:rPr>
        <w:t>مناقشه در استدلال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بر این استدلال دو اشکال وارد شده است</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lang w:bidi="fa-IR"/>
          <w14:ligatures w14:val="none"/>
        </w:rPr>
        <w:t>۱</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b/>
          <w:bCs/>
          <w:kern w:val="0"/>
          <w:sz w:val="32"/>
          <w:szCs w:val="32"/>
          <w:rtl/>
          <w14:ligatures w14:val="none"/>
        </w:rPr>
        <w:t>اشکال اول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مرحوم آیت‌الله تبریزی فرموده‌اند ذیل روایت که به مسئله استنجاء (طهارت از خبث) پرداخته، یک حکم مستقل و مجزاست و نمی‌تواند قرینه‌ای برای تفسیر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در صدر روایت باشد. کلمه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به خودی خود، انصراف به طهارت از حدث دارد، همان‌گونه که در حدیث</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لا تعاد</w:t>
      </w:r>
      <w:r w:rsidRPr="009C3E2C">
        <w:rPr>
          <w:rFonts w:ascii="Cambria" w:eastAsia="Times New Roman" w:hAnsi="Cambria" w:cs="Cambria" w:hint="cs"/>
          <w:kern w:val="0"/>
          <w:sz w:val="32"/>
          <w:szCs w:val="32"/>
          <w:rtl/>
          <w14:ligatures w14:val="none"/>
        </w:rPr>
        <w:t> </w:t>
      </w:r>
      <w:r w:rsidR="00CC6C4F">
        <w:rPr>
          <w:rFonts w:ascii="Cambria" w:eastAsia="Times New Roman" w:hAnsi="Cambria" w:cs="Cambria" w:hint="cs"/>
          <w:kern w:val="0"/>
          <w:sz w:val="32"/>
          <w:szCs w:val="32"/>
          <w:rtl/>
          <w14:ligatures w14:val="none"/>
        </w:rPr>
        <w:t>(</w:t>
      </w:r>
      <w:r w:rsidRPr="009C3E2C">
        <w:rPr>
          <w:rFonts w:ascii="IRMitra" w:eastAsia="Times New Roman" w:hAnsi="IRMitra" w:cs="IRMitra"/>
          <w:i/>
          <w:iCs/>
          <w:kern w:val="0"/>
          <w:sz w:val="32"/>
          <w:szCs w:val="32"/>
          <w:rtl/>
          <w14:ligatures w14:val="none"/>
        </w:rPr>
        <w:t>لا تعاد الا من خمس: الطهور و الوقت</w:t>
      </w:r>
      <w:r w:rsidRPr="009C3E2C">
        <w:rPr>
          <w:rFonts w:ascii="IRMitra" w:eastAsia="Times New Roman" w:hAnsi="IRMitra" w:cs="IRMitra"/>
          <w:i/>
          <w:iCs/>
          <w:kern w:val="0"/>
          <w:sz w:val="32"/>
          <w:szCs w:val="32"/>
          <w:lang w:bidi="ar"/>
          <w14:ligatures w14:val="none"/>
        </w:rPr>
        <w:t>...</w:t>
      </w:r>
      <w:r w:rsidRPr="009C3E2C">
        <w:rPr>
          <w:rFonts w:ascii="IRMitra" w:eastAsia="Times New Roman" w:hAnsi="IRMitra" w:cs="IRMitra"/>
          <w:kern w:val="0"/>
          <w:sz w:val="32"/>
          <w:szCs w:val="32"/>
          <w:lang w:bidi="ar"/>
          <w14:ligatures w14:val="none"/>
        </w:rPr>
        <w:t xml:space="preserve"> </w:t>
      </w:r>
      <w:r w:rsidR="00CC6C4F">
        <w:rPr>
          <w:rFonts w:ascii="IRMitra" w:eastAsia="Times New Roman" w:hAnsi="IRMitra" w:cs="IRMitra" w:hint="cs"/>
          <w:kern w:val="0"/>
          <w:sz w:val="32"/>
          <w:szCs w:val="32"/>
          <w:rtl/>
          <w:lang w:bidi="ar"/>
          <w14:ligatures w14:val="none"/>
        </w:rPr>
        <w:t xml:space="preserve">) </w:t>
      </w:r>
      <w:r w:rsidRPr="009C3E2C">
        <w:rPr>
          <w:rFonts w:ascii="IRMitra" w:eastAsia="Times New Roman" w:hAnsi="IRMitra" w:cs="IRMitra"/>
          <w:kern w:val="0"/>
          <w:sz w:val="32"/>
          <w:szCs w:val="32"/>
          <w:rtl/>
          <w14:ligatures w14:val="none"/>
        </w:rPr>
        <w:t>به معنای وضو، غسل و تیمم است و شامل طهارت از خبث نمی‌شود. این روایت نیز مانند حدیث</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لا تعاد</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است</w:t>
      </w:r>
      <w:r w:rsidRPr="009C3E2C">
        <w:rPr>
          <w:rFonts w:ascii="IRMitra" w:eastAsia="Times New Roman" w:hAnsi="IRMitra" w:cs="IRMitra"/>
          <w:kern w:val="0"/>
          <w:sz w:val="32"/>
          <w:szCs w:val="32"/>
          <w:lang w:bidi="ar"/>
          <w14:ligatures w14:val="none"/>
        </w:rPr>
        <w:t>.</w:t>
      </w:r>
    </w:p>
    <w:p w14:paraId="31A96EC5" w14:textId="04D19920" w:rsidR="009C3E2C" w:rsidRPr="009C3E2C" w:rsidRDefault="009C3E2C" w:rsidP="00CC6C4F">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lang w:bidi="fa-IR"/>
          <w14:ligatures w14:val="none"/>
        </w:rPr>
        <w:t>۲</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b/>
          <w:bCs/>
          <w:kern w:val="0"/>
          <w:sz w:val="32"/>
          <w:szCs w:val="32"/>
          <w:rtl/>
          <w14:ligatures w14:val="none"/>
        </w:rPr>
        <w:t>اشکال دوم</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این اشکال در کلام مرحوم آیت‌الله تبریزی و مرحوم آیت‌الله صدر آمده است. استدلال به این روایت متوقف بر آن است که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به معنای «طهارت» (اسم مصدر) باشد. اما احتمال دیگری وجود دارد و آن این است که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به معنای «مَا یُتَطَهَّرُ بِهِ» (آلت تطهیر) باشد. در این صورت،</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به معنای پاک‌کننده است، نه پاکی. مانند آیه شریفه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وَ أَنْزَلْنا مِنَ السَّماءِ ماءً طَهُوراً</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 xml:space="preserve">(فرقان: </w:t>
      </w:r>
      <w:r w:rsidRPr="009C3E2C">
        <w:rPr>
          <w:rFonts w:ascii="IRMitra" w:eastAsia="Times New Roman" w:hAnsi="IRMitra" w:cs="IRMitra"/>
          <w:kern w:val="0"/>
          <w:sz w:val="32"/>
          <w:szCs w:val="32"/>
          <w:rtl/>
          <w:lang w:bidi="fa-IR"/>
          <w14:ligatures w14:val="none"/>
        </w:rPr>
        <w:t xml:space="preserve">۴۸). </w:t>
      </w:r>
      <w:r w:rsidRPr="009C3E2C">
        <w:rPr>
          <w:rFonts w:ascii="IRMitra" w:eastAsia="Times New Roman" w:hAnsi="IRMitra" w:cs="IRMitra"/>
          <w:kern w:val="0"/>
          <w:sz w:val="32"/>
          <w:szCs w:val="32"/>
          <w:rtl/>
          <w14:ligatures w14:val="none"/>
        </w:rPr>
        <w:t>اگر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طهور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 xml:space="preserve">در روایت به این معنا باشد، حدیث فقط بر این دلالت دارد که برای صحت نماز، استفاده از وسیله تطهیر (مانند آب) شرط است. اما اینکه این وسیله برای چه چیزی باید به کار رود — آیا فقط برای رفع حدث (وضو و غسل) یا برای رفع خبث هم شرط است </w:t>
      </w:r>
      <w:r w:rsidRPr="009C3E2C">
        <w:rPr>
          <w:rFonts w:ascii="IRMitra" w:eastAsia="Times New Roman" w:hAnsi="IRMitra" w:cs="IRMitra"/>
          <w:kern w:val="0"/>
          <w:sz w:val="32"/>
          <w:szCs w:val="32"/>
          <w:rtl/>
          <w14:ligatures w14:val="none"/>
        </w:rPr>
        <w:lastRenderedPageBreak/>
        <w:t>— از روایت استفاده نمی‌شود. بنابراین، این صحیحه نیز نمی‌تواند دلیلی بر شرطیت طهارت از مطلق نجاست باشد</w:t>
      </w:r>
      <w:r w:rsidRPr="009C3E2C">
        <w:rPr>
          <w:rFonts w:ascii="IRMitra" w:eastAsia="Times New Roman" w:hAnsi="IRMitra" w:cs="IRMitra"/>
          <w:kern w:val="0"/>
          <w:sz w:val="32"/>
          <w:szCs w:val="32"/>
          <w:lang w:bidi="ar"/>
          <w14:ligatures w14:val="none"/>
        </w:rPr>
        <w:t>.</w:t>
      </w:r>
    </w:p>
    <w:p w14:paraId="4C0B3B68" w14:textId="77777777" w:rsidR="009C3E2C" w:rsidRPr="009C3E2C" w:rsidRDefault="009C3E2C" w:rsidP="009C3E2C">
      <w:pPr>
        <w:bidi/>
        <w:rPr>
          <w:rFonts w:ascii="IRMitra" w:eastAsia="Times New Roman" w:hAnsi="IRMitra" w:cs="IRMitra"/>
          <w:b/>
          <w:bCs/>
          <w:kern w:val="0"/>
          <w:sz w:val="32"/>
          <w:szCs w:val="32"/>
          <w:lang w:bidi="ar"/>
          <w14:ligatures w14:val="none"/>
        </w:rPr>
      </w:pPr>
      <w:r w:rsidRPr="009C3E2C">
        <w:rPr>
          <w:rFonts w:ascii="IRMitra" w:eastAsia="Times New Roman" w:hAnsi="IRMitra" w:cs="IRMitra"/>
          <w:b/>
          <w:bCs/>
          <w:kern w:val="0"/>
          <w:sz w:val="32"/>
          <w:szCs w:val="32"/>
          <w:rtl/>
          <w14:ligatures w14:val="none"/>
        </w:rPr>
        <w:t>دو تقریب برای استدلال به روایات</w:t>
      </w:r>
    </w:p>
    <w:p w14:paraId="65F2D554"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با توجه به عدم دلالت تام دو صحیحه مذکور، از دو راه دیگر می‌توان برای شرطیت طهارت از مطلق نجاسات به روایات استدلال کرد</w:t>
      </w:r>
      <w:r w:rsidRPr="009C3E2C">
        <w:rPr>
          <w:rFonts w:ascii="IRMitra" w:eastAsia="Times New Roman" w:hAnsi="IRMitra" w:cs="IRMitra"/>
          <w:kern w:val="0"/>
          <w:sz w:val="32"/>
          <w:szCs w:val="32"/>
          <w:lang w:bidi="ar"/>
          <w14:ligatures w14:val="none"/>
        </w:rPr>
        <w:t>:</w:t>
      </w:r>
    </w:p>
    <w:p w14:paraId="2FEEDB79" w14:textId="3AF25220" w:rsidR="009C3E2C" w:rsidRPr="009C3E2C" w:rsidRDefault="009C3E2C" w:rsidP="00CC6C4F">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lang w:bidi="fa-IR"/>
          <w14:ligatures w14:val="none"/>
        </w:rPr>
        <w:t>۱</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b/>
          <w:bCs/>
          <w:kern w:val="0"/>
          <w:sz w:val="32"/>
          <w:szCs w:val="32"/>
          <w:rtl/>
          <w14:ligatures w14:val="none"/>
        </w:rPr>
        <w:t>تقریب اول: است</w:t>
      </w:r>
      <w:r w:rsidR="00CC6C4F">
        <w:rPr>
          <w:rFonts w:ascii="IRMitra" w:eastAsia="Times New Roman" w:hAnsi="IRMitra" w:cs="IRMitra" w:hint="cs"/>
          <w:b/>
          <w:bCs/>
          <w:kern w:val="0"/>
          <w:sz w:val="32"/>
          <w:szCs w:val="32"/>
          <w:rtl/>
          <w14:ligatures w14:val="none"/>
        </w:rPr>
        <w:t xml:space="preserve">ناد به </w:t>
      </w:r>
      <w:r w:rsidRPr="009C3E2C">
        <w:rPr>
          <w:rFonts w:ascii="IRMitra" w:eastAsia="Times New Roman" w:hAnsi="IRMitra" w:cs="IRMitra"/>
          <w:b/>
          <w:bCs/>
          <w:kern w:val="0"/>
          <w:sz w:val="32"/>
          <w:szCs w:val="32"/>
          <w:rtl/>
          <w14:ligatures w14:val="none"/>
        </w:rPr>
        <w:t>روایات خاصه</w:t>
      </w:r>
      <w:r w:rsidR="00CC6C4F">
        <w:rPr>
          <w:rFonts w:ascii="IRMitra" w:eastAsia="Times New Roman" w:hAnsi="IRMitra" w:cs="IRMitra" w:hint="cs"/>
          <w:b/>
          <w:bCs/>
          <w:kern w:val="0"/>
          <w:sz w:val="32"/>
          <w:szCs w:val="32"/>
          <w:rtl/>
          <w14:ligatures w14:val="none"/>
        </w:rPr>
        <w:t xml:space="preserve"> ای که در موارد متفرقه وارد شده اند</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14:ligatures w14:val="none"/>
        </w:rPr>
        <w:t xml:space="preserve">روایات کثیره‌ای، که به تعبیر مرحوم آیت‌الله خویی در حد تواترند، در موارد خاصی مانند خون، بول، منی و تماس با رطوبت سگ </w:t>
      </w:r>
      <w:r w:rsidR="00CC6C4F">
        <w:rPr>
          <w:rFonts w:ascii="IRMitra" w:eastAsia="Times New Roman" w:hAnsi="IRMitra" w:cs="IRMitra" w:hint="cs"/>
          <w:kern w:val="0"/>
          <w:sz w:val="32"/>
          <w:szCs w:val="32"/>
          <w:rtl/>
          <w14:ligatures w14:val="none"/>
        </w:rPr>
        <w:t xml:space="preserve"> و امثال آن </w:t>
      </w:r>
      <w:r w:rsidRPr="009C3E2C">
        <w:rPr>
          <w:rFonts w:ascii="IRMitra" w:eastAsia="Times New Roman" w:hAnsi="IRMitra" w:cs="IRMitra"/>
          <w:kern w:val="0"/>
          <w:sz w:val="32"/>
          <w:szCs w:val="32"/>
          <w:rtl/>
          <w14:ligatures w14:val="none"/>
        </w:rPr>
        <w:t>وارد شده‌اند. این روایات امر به تطهیر لباس از این نجاسات برای نماز کرده‌اند. با ضمیمه کردن این روایات به یکدیگر و با توجه به عدم احتمال فرق بین موارد مذکور و سایر نجاسات، می‌توان نتیجه گرفت که طهارت از مطلق نجس و متنجس در نماز شرط است</w:t>
      </w:r>
      <w:r w:rsidRPr="009C3E2C">
        <w:rPr>
          <w:rFonts w:ascii="IRMitra" w:eastAsia="Times New Roman" w:hAnsi="IRMitra" w:cs="IRMitra"/>
          <w:kern w:val="0"/>
          <w:sz w:val="32"/>
          <w:szCs w:val="32"/>
          <w:lang w:bidi="ar"/>
          <w14:ligatures w14:val="none"/>
        </w:rPr>
        <w:t>.</w:t>
      </w:r>
    </w:p>
    <w:p w14:paraId="79667045" w14:textId="220E38DC" w:rsidR="009C3E2C" w:rsidRPr="009C3E2C" w:rsidRDefault="009C3E2C" w:rsidP="00CC6C4F">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lang w:bidi="fa-IR"/>
          <w14:ligatures w14:val="none"/>
        </w:rPr>
        <w:t>۲</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b/>
          <w:bCs/>
          <w:kern w:val="0"/>
          <w:sz w:val="32"/>
          <w:szCs w:val="32"/>
          <w:rtl/>
          <w14:ligatures w14:val="none"/>
        </w:rPr>
        <w:t xml:space="preserve">تقریب دوم: استدلال </w:t>
      </w:r>
      <w:r w:rsidR="00CC6C4F">
        <w:rPr>
          <w:rFonts w:ascii="IRMitra" w:eastAsia="Times New Roman" w:hAnsi="IRMitra" w:cs="IRMitra" w:hint="cs"/>
          <w:b/>
          <w:bCs/>
          <w:kern w:val="0"/>
          <w:sz w:val="32"/>
          <w:szCs w:val="32"/>
          <w:rtl/>
          <w14:ligatures w14:val="none"/>
        </w:rPr>
        <w:t>به</w:t>
      </w:r>
      <w:r w:rsidRPr="009C3E2C">
        <w:rPr>
          <w:rFonts w:ascii="IRMitra" w:eastAsia="Times New Roman" w:hAnsi="IRMitra" w:cs="IRMitra"/>
          <w:b/>
          <w:bCs/>
          <w:kern w:val="0"/>
          <w:sz w:val="32"/>
          <w:szCs w:val="32"/>
          <w:rtl/>
          <w14:ligatures w14:val="none"/>
        </w:rPr>
        <w:t xml:space="preserve"> روایات </w:t>
      </w:r>
      <w:r w:rsidR="00CC6C4F">
        <w:rPr>
          <w:rFonts w:ascii="IRMitra" w:eastAsia="Times New Roman" w:hAnsi="IRMitra" w:cs="IRMitra" w:hint="cs"/>
          <w:b/>
          <w:bCs/>
          <w:kern w:val="0"/>
          <w:sz w:val="32"/>
          <w:szCs w:val="32"/>
          <w:rtl/>
          <w14:ligatures w14:val="none"/>
        </w:rPr>
        <w:t>ا</w:t>
      </w:r>
      <w:r w:rsidRPr="009C3E2C">
        <w:rPr>
          <w:rFonts w:ascii="IRMitra" w:eastAsia="Times New Roman" w:hAnsi="IRMitra" w:cs="IRMitra"/>
          <w:b/>
          <w:bCs/>
          <w:kern w:val="0"/>
          <w:sz w:val="32"/>
          <w:szCs w:val="32"/>
          <w:rtl/>
          <w14:ligatures w14:val="none"/>
        </w:rPr>
        <w:t>ستثن</w:t>
      </w:r>
      <w:r w:rsidR="00CC6C4F">
        <w:rPr>
          <w:rFonts w:ascii="IRMitra" w:eastAsia="Times New Roman" w:hAnsi="IRMitra" w:cs="IRMitra" w:hint="cs"/>
          <w:b/>
          <w:bCs/>
          <w:kern w:val="0"/>
          <w:sz w:val="32"/>
          <w:szCs w:val="32"/>
          <w:rtl/>
          <w14:ligatures w14:val="none"/>
        </w:rPr>
        <w:t xml:space="preserve">اء ما لاتتم الصلاة فيه </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kern w:val="0"/>
          <w:sz w:val="32"/>
          <w:szCs w:val="32"/>
          <w:rtl/>
          <w14:ligatures w14:val="none"/>
        </w:rPr>
        <w:t>همان‌طور که در جهت دوم بحث خواهد آمد، روایات م</w:t>
      </w:r>
      <w:r w:rsidR="00CC6C4F">
        <w:rPr>
          <w:rFonts w:ascii="IRMitra" w:eastAsia="Times New Roman" w:hAnsi="IRMitra" w:cs="IRMitra" w:hint="cs"/>
          <w:kern w:val="0"/>
          <w:sz w:val="32"/>
          <w:szCs w:val="32"/>
          <w:rtl/>
          <w14:ligatures w14:val="none"/>
        </w:rPr>
        <w:t>ت</w:t>
      </w:r>
      <w:r w:rsidRPr="009C3E2C">
        <w:rPr>
          <w:rFonts w:ascii="IRMitra" w:eastAsia="Times New Roman" w:hAnsi="IRMitra" w:cs="IRMitra"/>
          <w:kern w:val="0"/>
          <w:sz w:val="32"/>
          <w:szCs w:val="32"/>
          <w:rtl/>
          <w14:ligatures w14:val="none"/>
        </w:rPr>
        <w:t>ع</w:t>
      </w:r>
      <w:r w:rsidR="00CC6C4F">
        <w:rPr>
          <w:rFonts w:ascii="IRMitra" w:eastAsia="Times New Roman" w:hAnsi="IRMitra" w:cs="IRMitra" w:hint="cs"/>
          <w:kern w:val="0"/>
          <w:sz w:val="32"/>
          <w:szCs w:val="32"/>
          <w:rtl/>
          <w14:ligatures w14:val="none"/>
        </w:rPr>
        <w:t xml:space="preserve">ددی </w:t>
      </w:r>
      <w:r w:rsidRPr="009C3E2C">
        <w:rPr>
          <w:rFonts w:ascii="IRMitra" w:eastAsia="Times New Roman" w:hAnsi="IRMitra" w:cs="IRMitra"/>
          <w:kern w:val="0"/>
          <w:sz w:val="32"/>
          <w:szCs w:val="32"/>
          <w:rtl/>
          <w14:ligatures w14:val="none"/>
        </w:rPr>
        <w:t>وجود دارد که نماز خواندن با لباس متنجسی که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لا تتم الصلاة فیه</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(مانند جوراب، بند شلوار و کلاه) را جایز شمرده و فرموده‌اند</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لا بأس</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مفهوم مخالف این روایات آن است که اگر لباس از مصادیق</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تتم فیه الصلاة</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باشد، نجاست آن مانع از صحت نماز است. بنابراین، از روایات مربوط به استثناء، می‌توان حکم عام (شرطیت طهارت در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تتم فیه الصلاة</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را استفاده کرد</w:t>
      </w:r>
      <w:r w:rsidRPr="009C3E2C">
        <w:rPr>
          <w:rFonts w:ascii="IRMitra" w:eastAsia="Times New Roman" w:hAnsi="IRMitra" w:cs="IRMitra"/>
          <w:kern w:val="0"/>
          <w:sz w:val="32"/>
          <w:szCs w:val="32"/>
          <w:lang w:bidi="ar"/>
          <w14:ligatures w14:val="none"/>
        </w:rPr>
        <w:t>.</w:t>
      </w:r>
    </w:p>
    <w:p w14:paraId="69EDF38F" w14:textId="0D37F3D2" w:rsidR="009C3E2C" w:rsidRPr="009C3E2C" w:rsidRDefault="009C3E2C" w:rsidP="00CC6C4F">
      <w:pPr>
        <w:bidi/>
        <w:rPr>
          <w:rFonts w:ascii="IRMitra" w:eastAsia="Times New Roman" w:hAnsi="IRMitra" w:cs="IRMitra"/>
          <w:kern w:val="0"/>
          <w:sz w:val="32"/>
          <w:szCs w:val="32"/>
          <w:lang w:bidi="ar"/>
          <w14:ligatures w14:val="none"/>
        </w:rPr>
      </w:pPr>
      <w:r w:rsidRPr="009C3E2C">
        <w:rPr>
          <w:rFonts w:ascii="IRMitra" w:eastAsia="Times New Roman" w:hAnsi="IRMitra" w:cs="IRMitra"/>
          <w:b/>
          <w:bCs/>
          <w:kern w:val="0"/>
          <w:sz w:val="32"/>
          <w:szCs w:val="32"/>
          <w:rtl/>
          <w14:ligatures w14:val="none"/>
        </w:rPr>
        <w:t>سوال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آن روایت</w:t>
      </w:r>
      <w:r w:rsidRPr="009C3E2C">
        <w:rPr>
          <w:rFonts w:ascii="Cambria" w:eastAsia="Times New Roman" w:hAnsi="Cambria" w:cs="Cambria" w:hint="cs"/>
          <w:kern w:val="0"/>
          <w:sz w:val="32"/>
          <w:szCs w:val="32"/>
          <w:rtl/>
          <w14:ligatures w14:val="none"/>
        </w:rPr>
        <w:t> </w:t>
      </w:r>
      <w:r w:rsidR="00CC6C4F">
        <w:rPr>
          <w:rFonts w:ascii="IRMitra" w:eastAsia="Times New Roman" w:hAnsi="IRMitra" w:cs="IRMitra" w:hint="cs"/>
          <w:kern w:val="0"/>
          <w:sz w:val="32"/>
          <w:szCs w:val="32"/>
          <w:rtl/>
          <w14:ligatures w14:val="none"/>
        </w:rPr>
        <w:t>يص</w:t>
      </w:r>
      <w:r w:rsidRPr="009C3E2C">
        <w:rPr>
          <w:rFonts w:ascii="IRMitra" w:eastAsia="Times New Roman" w:hAnsi="IRMitra" w:cs="IRMitra"/>
          <w:kern w:val="0"/>
          <w:sz w:val="32"/>
          <w:szCs w:val="32"/>
          <w:rtl/>
          <w14:ligatures w14:val="none"/>
        </w:rPr>
        <w:t>ل</w:t>
      </w:r>
      <w:r w:rsidR="00CC6C4F">
        <w:rPr>
          <w:rFonts w:ascii="IRMitra" w:eastAsia="Times New Roman" w:hAnsi="IRMitra" w:cs="IRMitra" w:hint="cs"/>
          <w:kern w:val="0"/>
          <w:sz w:val="32"/>
          <w:szCs w:val="32"/>
          <w:rtl/>
          <w14:ligatures w14:val="none"/>
        </w:rPr>
        <w:t>ی</w:t>
      </w:r>
      <w:r w:rsidRPr="009C3E2C">
        <w:rPr>
          <w:rFonts w:ascii="IRMitra" w:eastAsia="Times New Roman" w:hAnsi="IRMitra" w:cs="IRMitra"/>
          <w:kern w:val="0"/>
          <w:sz w:val="32"/>
          <w:szCs w:val="32"/>
          <w:rtl/>
          <w14:ligatures w14:val="none"/>
        </w:rPr>
        <w:t xml:space="preserve"> فی ثوبٍ طاهر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را هم در بحث استصحاب استدلال کرده بودید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لا تصل فی ثوبٍ طاهر</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در نماز طواف... سندش هم قبول داشتید</w:t>
      </w:r>
      <w:r w:rsidRPr="009C3E2C">
        <w:rPr>
          <w:rFonts w:ascii="IRMitra" w:eastAsia="Times New Roman" w:hAnsi="IRMitra" w:cs="IRMitra"/>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لا تصل فی ثوبٍ طاهر</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lang w:bidi="ar"/>
          <w14:ligatures w14:val="none"/>
        </w:rPr>
        <w:br/>
      </w:r>
      <w:r w:rsidRPr="009C3E2C">
        <w:rPr>
          <w:rFonts w:ascii="IRMitra" w:eastAsia="Times New Roman" w:hAnsi="IRMitra" w:cs="IRMitra"/>
          <w:b/>
          <w:bCs/>
          <w:kern w:val="0"/>
          <w:sz w:val="32"/>
          <w:szCs w:val="32"/>
          <w:rtl/>
          <w14:ligatures w14:val="none"/>
        </w:rPr>
        <w:t>جواب</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بله، اگر روایت معتبری با این مضمون</w:t>
      </w:r>
      <w:r w:rsidRPr="009C3E2C">
        <w:rPr>
          <w:rFonts w:ascii="IRMitra" w:eastAsia="Times New Roman" w:hAnsi="IRMitra" w:cs="IRMitra"/>
          <w:kern w:val="0"/>
          <w:sz w:val="32"/>
          <w:szCs w:val="32"/>
          <w:lang w:bidi="ar"/>
          <w14:ligatures w14:val="none"/>
        </w:rPr>
        <w:t xml:space="preserve"> </w:t>
      </w:r>
      <w:r w:rsidR="00CC6C4F">
        <w:rPr>
          <w:rFonts w:ascii="IRMitra" w:eastAsia="Times New Roman" w:hAnsi="IRMitra" w:cs="IRMitra" w:hint="cs"/>
          <w:kern w:val="0"/>
          <w:sz w:val="32"/>
          <w:szCs w:val="32"/>
          <w:rtl/>
          <w:lang w:bidi="ar"/>
          <w14:ligatures w14:val="none"/>
        </w:rPr>
        <w:t xml:space="preserve">يصلی  في </w:t>
      </w:r>
      <w:r w:rsidRPr="009C3E2C">
        <w:rPr>
          <w:rFonts w:ascii="IRMitra" w:eastAsia="Times New Roman" w:hAnsi="IRMitra" w:cs="IRMitra"/>
          <w:kern w:val="0"/>
          <w:sz w:val="32"/>
          <w:szCs w:val="32"/>
          <w:rtl/>
          <w14:ligatures w14:val="none"/>
        </w:rPr>
        <w:t>ثوب طاهر</w:t>
      </w:r>
      <w:r w:rsidR="00CC6C4F">
        <w:rPr>
          <w:rFonts w:ascii="IRMitra" w:eastAsia="Times New Roman" w:hAnsi="IRMitra" w:cs="IRMitra" w:hint="cs"/>
          <w:kern w:val="0"/>
          <w:sz w:val="32"/>
          <w:szCs w:val="32"/>
          <w:rtl/>
          <w14:ligatures w14:val="none"/>
        </w:rPr>
        <w:t xml:space="preserve"> </w:t>
      </w:r>
      <w:r w:rsidRPr="009C3E2C">
        <w:rPr>
          <w:rFonts w:ascii="IRMitra" w:eastAsia="Times New Roman" w:hAnsi="IRMitra" w:cs="IRMitra"/>
          <w:kern w:val="0"/>
          <w:sz w:val="32"/>
          <w:szCs w:val="32"/>
          <w:rtl/>
          <w14:ligatures w14:val="none"/>
        </w:rPr>
        <w:t xml:space="preserve">وجود </w:t>
      </w:r>
      <w:r w:rsidRPr="009C3E2C">
        <w:rPr>
          <w:rFonts w:ascii="IRMitra" w:eastAsia="Times New Roman" w:hAnsi="IRMitra" w:cs="IRMitra"/>
          <w:kern w:val="0"/>
          <w:sz w:val="32"/>
          <w:szCs w:val="32"/>
          <w:rtl/>
          <w14:ligatures w14:val="none"/>
        </w:rPr>
        <w:lastRenderedPageBreak/>
        <w:t>داشته باشد، می‌توان از آن اطلاق را استفاده کرد، اما این امر مشروط به تمامیت سند آن است که بر برخی مبانی محل اشکال است</w:t>
      </w:r>
      <w:r w:rsidRPr="009C3E2C">
        <w:rPr>
          <w:rFonts w:ascii="IRMitra" w:eastAsia="Times New Roman" w:hAnsi="IRMitra" w:cs="IRMitra"/>
          <w:kern w:val="0"/>
          <w:sz w:val="32"/>
          <w:szCs w:val="32"/>
          <w:lang w:bidi="ar"/>
          <w14:ligatures w14:val="none"/>
        </w:rPr>
        <w:t>.</w:t>
      </w:r>
    </w:p>
    <w:p w14:paraId="68A5B5C0" w14:textId="36917085" w:rsidR="009C3E2C" w:rsidRPr="009C3E2C" w:rsidRDefault="009C3E2C" w:rsidP="00CC6C4F">
      <w:pPr>
        <w:bidi/>
        <w:rPr>
          <w:rFonts w:ascii="IRMitra" w:eastAsia="Times New Roman" w:hAnsi="IRMitra" w:cs="IRMitra"/>
          <w:kern w:val="0"/>
          <w:sz w:val="32"/>
          <w:szCs w:val="32"/>
          <w:lang w:bidi="ar"/>
          <w14:ligatures w14:val="none"/>
        </w:rPr>
      </w:pPr>
      <w:r w:rsidRPr="009C3E2C">
        <w:rPr>
          <w:rFonts w:ascii="IRMitra" w:eastAsia="Times New Roman" w:hAnsi="IRMitra" w:cs="IRMitra"/>
          <w:b/>
          <w:bCs/>
          <w:kern w:val="0"/>
          <w:sz w:val="32"/>
          <w:szCs w:val="32"/>
          <w:rtl/>
          <w14:ligatures w14:val="none"/>
        </w:rPr>
        <w:t>نتیجه جهت اول</w:t>
      </w:r>
      <w:r w:rsidRPr="009C3E2C">
        <w:rPr>
          <w:rFonts w:ascii="IRMitra" w:eastAsia="Times New Roman" w:hAnsi="IRMitra" w:cs="IRMitra"/>
          <w:b/>
          <w:bCs/>
          <w:kern w:val="0"/>
          <w:sz w:val="32"/>
          <w:szCs w:val="32"/>
          <w:lang w:bidi="ar"/>
          <w14:ligatures w14:val="none"/>
        </w:rPr>
        <w:t>:</w:t>
      </w:r>
      <w:r w:rsidRPr="009C3E2C">
        <w:rPr>
          <w:rFonts w:ascii="Cambria" w:eastAsia="Times New Roman" w:hAnsi="Cambria" w:cs="Cambria"/>
          <w:kern w:val="0"/>
          <w:sz w:val="32"/>
          <w:szCs w:val="32"/>
          <w:lang w:bidi="ar"/>
          <w14:ligatures w14:val="none"/>
        </w:rPr>
        <w:t> </w:t>
      </w:r>
      <w:r w:rsidRPr="009C3E2C">
        <w:rPr>
          <w:rFonts w:ascii="IRMitra" w:eastAsia="Times New Roman" w:hAnsi="IRMitra" w:cs="IRMitra"/>
          <w:kern w:val="0"/>
          <w:sz w:val="32"/>
          <w:szCs w:val="32"/>
          <w:rtl/>
          <w14:ligatures w14:val="none"/>
        </w:rPr>
        <w:t>هرچند روایت خاص برای اثبات شرطیت طهارت در دست نیست، اما این مسئله مورد اجماع و تسالم فقهاست و علاوه بر آن، با دو تقریب مذکور می‌توان این شرط را از مجموعه روایات استفاده نمود</w:t>
      </w:r>
      <w:r w:rsidRPr="009C3E2C">
        <w:rPr>
          <w:rFonts w:ascii="IRMitra" w:eastAsia="Times New Roman" w:hAnsi="IRMitra" w:cs="IRMitra"/>
          <w:kern w:val="0"/>
          <w:sz w:val="32"/>
          <w:szCs w:val="32"/>
          <w:lang w:bidi="ar"/>
          <w14:ligatures w14:val="none"/>
        </w:rPr>
        <w:t>.</w:t>
      </w:r>
    </w:p>
    <w:p w14:paraId="383A69CE" w14:textId="77777777" w:rsidR="009C3E2C" w:rsidRPr="009C3E2C" w:rsidRDefault="009C3E2C" w:rsidP="009C3E2C">
      <w:pPr>
        <w:bidi/>
        <w:rPr>
          <w:rFonts w:ascii="IRMitra" w:eastAsia="Times New Roman" w:hAnsi="IRMitra" w:cs="IRMitra"/>
          <w:b/>
          <w:bCs/>
          <w:kern w:val="0"/>
          <w:sz w:val="32"/>
          <w:szCs w:val="32"/>
          <w:lang w:bidi="ar"/>
          <w14:ligatures w14:val="none"/>
        </w:rPr>
      </w:pPr>
      <w:r w:rsidRPr="009C3E2C">
        <w:rPr>
          <w:rFonts w:ascii="IRMitra" w:eastAsia="Times New Roman" w:hAnsi="IRMitra" w:cs="IRMitra"/>
          <w:b/>
          <w:bCs/>
          <w:kern w:val="0"/>
          <w:sz w:val="32"/>
          <w:szCs w:val="32"/>
          <w:rtl/>
          <w14:ligatures w14:val="none"/>
        </w:rPr>
        <w:t>جهت دوم: استثناء «ما لا تتم الصلاة فیه منفرداً</w:t>
      </w:r>
      <w:r w:rsidRPr="009C3E2C">
        <w:rPr>
          <w:rFonts w:ascii="IRMitra" w:eastAsia="Times New Roman" w:hAnsi="IRMitra" w:cs="IRMitra"/>
          <w:b/>
          <w:bCs/>
          <w:kern w:val="0"/>
          <w:sz w:val="32"/>
          <w:szCs w:val="32"/>
          <w:lang w:bidi="ar"/>
          <w14:ligatures w14:val="none"/>
        </w:rPr>
        <w:t>»</w:t>
      </w:r>
    </w:p>
    <w:p w14:paraId="33F9E29F"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جهت دوم بحث، استثناء</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لا تتم الصلاة فیه منفرداً</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است که مرحوم سید در کتاب الصلاة به آن اشاره کرده و در کتاب الطهاره به تفصیل به آن پرداخته‌اند. عبارت ایشان در کتاب الطهاره چنین است</w:t>
      </w:r>
      <w:r w:rsidRPr="009C3E2C">
        <w:rPr>
          <w:rFonts w:ascii="IRMitra" w:eastAsia="Times New Roman" w:hAnsi="IRMitra" w:cs="IRMitra"/>
          <w:kern w:val="0"/>
          <w:sz w:val="32"/>
          <w:szCs w:val="32"/>
          <w:lang w:bidi="ar"/>
          <w14:ligatures w14:val="none"/>
        </w:rPr>
        <w:t>:</w:t>
      </w:r>
    </w:p>
    <w:p w14:paraId="1477BEFD"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الثالث مما یعفی عنه ما لا تتم فیه الصلاة من الملابس کالقلنسوه و العرقچین و التکه و الجوراب و النعل و الخاتم و الخلخال و نحوها، به شرط ان لا یکون من المیتة و لا من اجزاء نجس العین کالکلب و اخویه. و المناط عدم امکان ستر بلا علاجٍ، فان تعمم او تحزم به مثل دستمال مما لا یستر العورة بلا علاجٍ لکن یمکن الستر به بشده بحبلٍ او بجعله خرقاً لا مانع من الصلاة فیه. و اما مثل العمامة الملفوفة التی تستر العورة اذا فلت فلا يكون معفوّاً إلّا إذا خيطت بعد اللفّ بحيث تصير مثل القلنسوة</w:t>
      </w:r>
      <w:r w:rsidRPr="009C3E2C">
        <w:rPr>
          <w:rFonts w:ascii="IRMitra" w:eastAsia="Times New Roman" w:hAnsi="IRMitra" w:cs="IRMitra"/>
          <w:kern w:val="0"/>
          <w:sz w:val="32"/>
          <w:szCs w:val="32"/>
          <w:lang w:bidi="ar"/>
          <w14:ligatures w14:val="none"/>
        </w:rPr>
        <w:t>.</w:t>
      </w:r>
    </w:p>
    <w:p w14:paraId="50E69F7D"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در این عبارت، مرحوم سید سومین مورد از نجاسات معفوّه را لباس‌هایی می‌دانند که نماز به تنهایی در آنها تمام نیست؛ مانند کلاه، عرقچین، بند شلوار، جوراب، کفش، انگشتر و خلخال. نجاست در این موارد، به شرط آنکه از میته یا اجزای حیوان نجس‌العین (مانند سگ) نباشد، بخشیده شده است</w:t>
      </w:r>
      <w:r w:rsidRPr="009C3E2C">
        <w:rPr>
          <w:rFonts w:ascii="IRMitra" w:eastAsia="Times New Roman" w:hAnsi="IRMitra" w:cs="IRMitra"/>
          <w:kern w:val="0"/>
          <w:sz w:val="32"/>
          <w:szCs w:val="32"/>
          <w:lang w:bidi="ar"/>
          <w14:ligatures w14:val="none"/>
        </w:rPr>
        <w:t>.</w:t>
      </w:r>
    </w:p>
    <w:p w14:paraId="3A81655D" w14:textId="77777777" w:rsidR="009C3E2C" w:rsidRPr="009C3E2C" w:rsidRDefault="009C3E2C" w:rsidP="009C3E2C">
      <w:pPr>
        <w:bidi/>
        <w:rPr>
          <w:rFonts w:ascii="IRMitra" w:eastAsia="Times New Roman" w:hAnsi="IRMitra" w:cs="IRMitra"/>
          <w:kern w:val="0"/>
          <w:sz w:val="32"/>
          <w:szCs w:val="32"/>
          <w:lang w:bidi="ar"/>
          <w14:ligatures w14:val="none"/>
        </w:rPr>
      </w:pPr>
      <w:r w:rsidRPr="009C3E2C">
        <w:rPr>
          <w:rFonts w:ascii="IRMitra" w:eastAsia="Times New Roman" w:hAnsi="IRMitra" w:cs="IRMitra"/>
          <w:kern w:val="0"/>
          <w:sz w:val="32"/>
          <w:szCs w:val="32"/>
          <w:rtl/>
          <w14:ligatures w14:val="none"/>
        </w:rPr>
        <w:t>مناط و معیار در تشخیص</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لا تتم فیه الصلاة</w:t>
      </w:r>
      <w:r w:rsidRPr="009C3E2C">
        <w:rPr>
          <w:rFonts w:ascii="IRMitra" w:eastAsia="Times New Roman" w:hAnsi="IRMitra" w:cs="IRMitra"/>
          <w:kern w:val="0"/>
          <w:sz w:val="32"/>
          <w:szCs w:val="32"/>
          <w:rtl/>
          <w14:ligatures w14:val="none"/>
        </w:rPr>
        <w:t xml:space="preserve">، </w:t>
      </w:r>
      <w:r w:rsidRPr="009C3E2C">
        <w:rPr>
          <w:rFonts w:ascii="IRMitra" w:eastAsia="Times New Roman" w:hAnsi="IRMitra" w:cs="IRMitra"/>
          <w:kern w:val="0"/>
          <w:sz w:val="32"/>
          <w:szCs w:val="32"/>
          <w:lang w:bidi="ar"/>
          <w14:ligatures w14:val="none"/>
        </w:rPr>
        <w:t>«</w:t>
      </w:r>
      <w:r w:rsidRPr="009C3E2C">
        <w:rPr>
          <w:rFonts w:ascii="IRMitra" w:eastAsia="Times New Roman" w:hAnsi="IRMitra" w:cs="IRMitra"/>
          <w:kern w:val="0"/>
          <w:sz w:val="32"/>
          <w:szCs w:val="32"/>
          <w:rtl/>
          <w14:ligatures w14:val="none"/>
        </w:rPr>
        <w:t>عدم امکان ستر عورتین بدون تدارک و تمهید</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i/>
          <w:iCs/>
          <w:kern w:val="0"/>
          <w:sz w:val="32"/>
          <w:szCs w:val="32"/>
          <w:rtl/>
          <w14:ligatures w14:val="none"/>
        </w:rPr>
        <w:t>بلا علاج</w:t>
      </w:r>
      <w:r w:rsidRPr="009C3E2C">
        <w:rPr>
          <w:rFonts w:ascii="IRMitra" w:eastAsia="Times New Roman" w:hAnsi="IRMitra" w:cs="IRMitra"/>
          <w:kern w:val="0"/>
          <w:sz w:val="32"/>
          <w:szCs w:val="32"/>
          <w:lang w:bidi="ar"/>
          <w14:ligatures w14:val="none"/>
        </w:rPr>
        <w:t xml:space="preserve">)» </w:t>
      </w:r>
      <w:r w:rsidRPr="009C3E2C">
        <w:rPr>
          <w:rFonts w:ascii="IRMitra" w:eastAsia="Times New Roman" w:hAnsi="IRMitra" w:cs="IRMitra"/>
          <w:kern w:val="0"/>
          <w:sz w:val="32"/>
          <w:szCs w:val="32"/>
          <w:rtl/>
          <w14:ligatures w14:val="none"/>
        </w:rPr>
        <w:t>است. بنابراین، اگر چیزی مانند دستمال به خودی خود ساتر نیست، اما می‌توان با بستن ریسمان یا تدبیری دیگر آن را ساتر قرار داد، باز هم مصداق</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لا تتم</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 xml:space="preserve">بوده و نجاستش در نماز بخشیده شده </w:t>
      </w:r>
      <w:r w:rsidRPr="009C3E2C">
        <w:rPr>
          <w:rFonts w:ascii="IRMitra" w:eastAsia="Times New Roman" w:hAnsi="IRMitra" w:cs="IRMitra"/>
          <w:kern w:val="0"/>
          <w:sz w:val="32"/>
          <w:szCs w:val="32"/>
          <w:rtl/>
          <w14:ligatures w14:val="none"/>
        </w:rPr>
        <w:lastRenderedPageBreak/>
        <w:t>است. اما اگر چیزی مانند عمامه‌ای باشد که در حالت پیچیده شده ساتر نیست، ولی اگر باز شود قابلیت ستر عورت را دارد، نجاست آن معفو نیست؛ مگر آنکه پس از پیچیدن، آن را بدوزند به طوری که عملاً به کلاه تبدیل شود. در این صورت، مصداق</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i/>
          <w:iCs/>
          <w:kern w:val="0"/>
          <w:sz w:val="32"/>
          <w:szCs w:val="32"/>
          <w:rtl/>
          <w14:ligatures w14:val="none"/>
        </w:rPr>
        <w:t>ما لا تتم</w:t>
      </w:r>
      <w:r w:rsidRPr="009C3E2C">
        <w:rPr>
          <w:rFonts w:ascii="Cambria" w:eastAsia="Times New Roman" w:hAnsi="Cambria" w:cs="Cambria" w:hint="cs"/>
          <w:kern w:val="0"/>
          <w:sz w:val="32"/>
          <w:szCs w:val="32"/>
          <w:rtl/>
          <w14:ligatures w14:val="none"/>
        </w:rPr>
        <w:t> </w:t>
      </w:r>
      <w:r w:rsidRPr="009C3E2C">
        <w:rPr>
          <w:rFonts w:ascii="IRMitra" w:eastAsia="Times New Roman" w:hAnsi="IRMitra" w:cs="IRMitra"/>
          <w:kern w:val="0"/>
          <w:sz w:val="32"/>
          <w:szCs w:val="32"/>
          <w:rtl/>
          <w14:ligatures w14:val="none"/>
        </w:rPr>
        <w:t>خواهد بود</w:t>
      </w:r>
      <w:r w:rsidRPr="009C3E2C">
        <w:rPr>
          <w:rFonts w:ascii="IRMitra" w:eastAsia="Times New Roman" w:hAnsi="IRMitra" w:cs="IRMitra"/>
          <w:kern w:val="0"/>
          <w:sz w:val="32"/>
          <w:szCs w:val="32"/>
          <w:lang w:bidi="ar"/>
          <w14:ligatures w14:val="none"/>
        </w:rPr>
        <w:t>.</w:t>
      </w:r>
    </w:p>
    <w:p w14:paraId="75B729FB" w14:textId="3A068D54" w:rsidR="00EE3810" w:rsidRPr="009C3E2C" w:rsidRDefault="00EE3810" w:rsidP="009C3E2C">
      <w:pPr>
        <w:bidi/>
        <w:rPr>
          <w:sz w:val="32"/>
          <w:szCs w:val="32"/>
          <w:rtl/>
          <w:lang w:bidi="fa-IR"/>
        </w:rPr>
      </w:pPr>
      <w:bookmarkStart w:id="0" w:name="_GoBack"/>
      <w:bookmarkEnd w:id="0"/>
    </w:p>
    <w:sectPr w:rsidR="00EE3810" w:rsidRPr="009C3E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E6E51" w14:textId="77777777" w:rsidR="008610AE" w:rsidRDefault="008610AE" w:rsidP="002F302D">
      <w:pPr>
        <w:spacing w:after="0" w:line="240" w:lineRule="auto"/>
      </w:pPr>
      <w:r>
        <w:separator/>
      </w:r>
    </w:p>
  </w:endnote>
  <w:endnote w:type="continuationSeparator" w:id="0">
    <w:p w14:paraId="352FFDAE" w14:textId="77777777" w:rsidR="008610AE" w:rsidRDefault="008610AE" w:rsidP="002F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Nazli">
    <w:altName w:val="Cambria"/>
    <w:panose1 w:val="01000506000000020004"/>
    <w:charset w:val="00"/>
    <w:family w:val="auto"/>
    <w:pitch w:val="variable"/>
    <w:sig w:usb0="80002007" w:usb1="80002000" w:usb2="00000008" w:usb3="00000000" w:csb0="00000043" w:csb1="00000000"/>
  </w:font>
  <w:font w:name="IRMitra">
    <w:altName w:val="Segoe UI"/>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939AF" w14:textId="77777777" w:rsidR="008610AE" w:rsidRDefault="008610AE" w:rsidP="002F302D">
      <w:pPr>
        <w:spacing w:after="0" w:line="240" w:lineRule="auto"/>
      </w:pPr>
      <w:r>
        <w:separator/>
      </w:r>
    </w:p>
  </w:footnote>
  <w:footnote w:type="continuationSeparator" w:id="0">
    <w:p w14:paraId="27929F7D" w14:textId="77777777" w:rsidR="008610AE" w:rsidRDefault="008610AE" w:rsidP="002F3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48617"/>
      <w:docPartObj>
        <w:docPartGallery w:val="Page Numbers (Top of Page)"/>
        <w:docPartUnique/>
      </w:docPartObj>
    </w:sdtPr>
    <w:sdtEndPr>
      <w:rPr>
        <w:noProof/>
      </w:rPr>
    </w:sdtEndPr>
    <w:sdtContent>
      <w:p w14:paraId="71FF35BB" w14:textId="0592C493" w:rsidR="00FB249B" w:rsidRDefault="00FB249B">
        <w:pPr>
          <w:pStyle w:val="af2"/>
        </w:pPr>
        <w:r>
          <w:fldChar w:fldCharType="begin"/>
        </w:r>
        <w:r>
          <w:instrText>PAGE   \* MERGEFORMAT</w:instrText>
        </w:r>
        <w:r>
          <w:fldChar w:fldCharType="separate"/>
        </w:r>
        <w:r w:rsidR="00CC6C4F" w:rsidRPr="00CC6C4F">
          <w:rPr>
            <w:noProof/>
            <w:lang w:val="fa-IR"/>
          </w:rPr>
          <w:t>9</w:t>
        </w:r>
        <w:r>
          <w:rPr>
            <w:noProof/>
          </w:rPr>
          <w:fldChar w:fldCharType="end"/>
        </w:r>
      </w:p>
    </w:sdtContent>
  </w:sdt>
  <w:p w14:paraId="56D7803D" w14:textId="77777777" w:rsidR="00FB249B" w:rsidRDefault="00FB249B">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2D"/>
    <w:rsid w:val="002F302D"/>
    <w:rsid w:val="003158FE"/>
    <w:rsid w:val="005415A4"/>
    <w:rsid w:val="005A7650"/>
    <w:rsid w:val="005C31D4"/>
    <w:rsid w:val="008610AE"/>
    <w:rsid w:val="009163C1"/>
    <w:rsid w:val="009C3E2C"/>
    <w:rsid w:val="00A55E27"/>
    <w:rsid w:val="00BB7944"/>
    <w:rsid w:val="00CA236D"/>
    <w:rsid w:val="00CC6C4F"/>
    <w:rsid w:val="00EE3810"/>
    <w:rsid w:val="00FB2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0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F30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F302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F302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F302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F30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30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30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30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2F302D"/>
    <w:rPr>
      <w:rFonts w:asciiTheme="majorHAnsi" w:eastAsiaTheme="majorEastAsia" w:hAnsiTheme="majorHAnsi" w:cstheme="majorBidi"/>
      <w:color w:val="2F5496" w:themeColor="accent1" w:themeShade="BF"/>
      <w:sz w:val="40"/>
      <w:szCs w:val="40"/>
    </w:rPr>
  </w:style>
  <w:style w:type="character" w:customStyle="1" w:styleId="20">
    <w:name w:val="عنوان 2 نویسه"/>
    <w:basedOn w:val="a0"/>
    <w:link w:val="2"/>
    <w:uiPriority w:val="9"/>
    <w:semiHidden/>
    <w:rsid w:val="002F302D"/>
    <w:rPr>
      <w:rFonts w:asciiTheme="majorHAnsi" w:eastAsiaTheme="majorEastAsia" w:hAnsiTheme="majorHAnsi" w:cstheme="majorBidi"/>
      <w:color w:val="2F5496" w:themeColor="accent1" w:themeShade="BF"/>
      <w:sz w:val="32"/>
      <w:szCs w:val="32"/>
    </w:rPr>
  </w:style>
  <w:style w:type="character" w:customStyle="1" w:styleId="30">
    <w:name w:val="عنوان 3 نویسه"/>
    <w:basedOn w:val="a0"/>
    <w:link w:val="3"/>
    <w:uiPriority w:val="9"/>
    <w:semiHidden/>
    <w:rsid w:val="002F302D"/>
    <w:rPr>
      <w:rFonts w:eastAsiaTheme="majorEastAsia" w:cstheme="majorBidi"/>
      <w:color w:val="2F5496" w:themeColor="accent1" w:themeShade="BF"/>
      <w:sz w:val="28"/>
      <w:szCs w:val="28"/>
    </w:rPr>
  </w:style>
  <w:style w:type="character" w:customStyle="1" w:styleId="40">
    <w:name w:val="عنوان 4 نویسه"/>
    <w:basedOn w:val="a0"/>
    <w:link w:val="4"/>
    <w:uiPriority w:val="9"/>
    <w:semiHidden/>
    <w:rsid w:val="002F302D"/>
    <w:rPr>
      <w:rFonts w:eastAsiaTheme="majorEastAsia" w:cstheme="majorBidi"/>
      <w:i/>
      <w:iCs/>
      <w:color w:val="2F5496" w:themeColor="accent1" w:themeShade="BF"/>
    </w:rPr>
  </w:style>
  <w:style w:type="character" w:customStyle="1" w:styleId="50">
    <w:name w:val="سرصفحه 5 نویسه"/>
    <w:basedOn w:val="a0"/>
    <w:link w:val="5"/>
    <w:uiPriority w:val="9"/>
    <w:semiHidden/>
    <w:rsid w:val="002F302D"/>
    <w:rPr>
      <w:rFonts w:eastAsiaTheme="majorEastAsia" w:cstheme="majorBidi"/>
      <w:color w:val="2F5496" w:themeColor="accent1" w:themeShade="BF"/>
    </w:rPr>
  </w:style>
  <w:style w:type="character" w:customStyle="1" w:styleId="60">
    <w:name w:val="سرصفحه 6 نویسه"/>
    <w:basedOn w:val="a0"/>
    <w:link w:val="6"/>
    <w:uiPriority w:val="9"/>
    <w:semiHidden/>
    <w:rsid w:val="002F302D"/>
    <w:rPr>
      <w:rFonts w:eastAsiaTheme="majorEastAsia" w:cstheme="majorBidi"/>
      <w:i/>
      <w:iCs/>
      <w:color w:val="595959" w:themeColor="text1" w:themeTint="A6"/>
    </w:rPr>
  </w:style>
  <w:style w:type="character" w:customStyle="1" w:styleId="70">
    <w:name w:val="سرصفحه 7 نویسه"/>
    <w:basedOn w:val="a0"/>
    <w:link w:val="7"/>
    <w:uiPriority w:val="9"/>
    <w:semiHidden/>
    <w:rsid w:val="002F302D"/>
    <w:rPr>
      <w:rFonts w:eastAsiaTheme="majorEastAsia" w:cstheme="majorBidi"/>
      <w:color w:val="595959" w:themeColor="text1" w:themeTint="A6"/>
    </w:rPr>
  </w:style>
  <w:style w:type="character" w:customStyle="1" w:styleId="80">
    <w:name w:val="سرصفحه 8 نویسه"/>
    <w:basedOn w:val="a0"/>
    <w:link w:val="8"/>
    <w:uiPriority w:val="9"/>
    <w:semiHidden/>
    <w:rsid w:val="002F302D"/>
    <w:rPr>
      <w:rFonts w:eastAsiaTheme="majorEastAsia" w:cstheme="majorBidi"/>
      <w:i/>
      <w:iCs/>
      <w:color w:val="272727" w:themeColor="text1" w:themeTint="D8"/>
    </w:rPr>
  </w:style>
  <w:style w:type="character" w:customStyle="1" w:styleId="90">
    <w:name w:val="سرصفحه 9 نویسه"/>
    <w:basedOn w:val="a0"/>
    <w:link w:val="9"/>
    <w:uiPriority w:val="9"/>
    <w:semiHidden/>
    <w:rsid w:val="002F302D"/>
    <w:rPr>
      <w:rFonts w:eastAsiaTheme="majorEastAsia" w:cstheme="majorBidi"/>
      <w:color w:val="272727" w:themeColor="text1" w:themeTint="D8"/>
    </w:rPr>
  </w:style>
  <w:style w:type="paragraph" w:styleId="a3">
    <w:name w:val="Title"/>
    <w:basedOn w:val="a"/>
    <w:next w:val="a"/>
    <w:link w:val="a4"/>
    <w:uiPriority w:val="10"/>
    <w:qFormat/>
    <w:rsid w:val="002F3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عنوان نویسه"/>
    <w:basedOn w:val="a0"/>
    <w:link w:val="a3"/>
    <w:uiPriority w:val="10"/>
    <w:rsid w:val="002F3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02D"/>
    <w:pPr>
      <w:numPr>
        <w:ilvl w:val="1"/>
      </w:numPr>
    </w:pPr>
    <w:rPr>
      <w:rFonts w:eastAsiaTheme="majorEastAsia" w:cstheme="majorBidi"/>
      <w:color w:val="595959" w:themeColor="text1" w:themeTint="A6"/>
      <w:spacing w:val="15"/>
      <w:sz w:val="28"/>
      <w:szCs w:val="28"/>
    </w:rPr>
  </w:style>
  <w:style w:type="character" w:customStyle="1" w:styleId="a6">
    <w:name w:val="زیر نویس نویسه"/>
    <w:basedOn w:val="a0"/>
    <w:link w:val="a5"/>
    <w:uiPriority w:val="11"/>
    <w:rsid w:val="002F302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F302D"/>
    <w:pPr>
      <w:spacing w:before="160"/>
      <w:jc w:val="center"/>
    </w:pPr>
    <w:rPr>
      <w:i/>
      <w:iCs/>
      <w:color w:val="404040" w:themeColor="text1" w:themeTint="BF"/>
    </w:rPr>
  </w:style>
  <w:style w:type="character" w:customStyle="1" w:styleId="a8">
    <w:name w:val="نقل قول نویسه"/>
    <w:basedOn w:val="a0"/>
    <w:link w:val="a7"/>
    <w:uiPriority w:val="29"/>
    <w:rsid w:val="002F302D"/>
    <w:rPr>
      <w:i/>
      <w:iCs/>
      <w:color w:val="404040" w:themeColor="text1" w:themeTint="BF"/>
    </w:rPr>
  </w:style>
  <w:style w:type="paragraph" w:styleId="a9">
    <w:name w:val="List Paragraph"/>
    <w:basedOn w:val="a"/>
    <w:uiPriority w:val="34"/>
    <w:qFormat/>
    <w:rsid w:val="002F302D"/>
    <w:pPr>
      <w:ind w:left="720"/>
      <w:contextualSpacing/>
    </w:pPr>
  </w:style>
  <w:style w:type="character" w:styleId="aa">
    <w:name w:val="Intense Emphasis"/>
    <w:basedOn w:val="a0"/>
    <w:uiPriority w:val="21"/>
    <w:qFormat/>
    <w:rsid w:val="002F302D"/>
    <w:rPr>
      <w:i/>
      <w:iCs/>
      <w:color w:val="2F5496" w:themeColor="accent1" w:themeShade="BF"/>
    </w:rPr>
  </w:style>
  <w:style w:type="paragraph" w:styleId="ab">
    <w:name w:val="Intense Quote"/>
    <w:basedOn w:val="a"/>
    <w:next w:val="a"/>
    <w:link w:val="ac"/>
    <w:uiPriority w:val="30"/>
    <w:qFormat/>
    <w:rsid w:val="002F3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نقل قول قوی نویسه"/>
    <w:basedOn w:val="a0"/>
    <w:link w:val="ab"/>
    <w:uiPriority w:val="30"/>
    <w:rsid w:val="002F302D"/>
    <w:rPr>
      <w:i/>
      <w:iCs/>
      <w:color w:val="2F5496" w:themeColor="accent1" w:themeShade="BF"/>
    </w:rPr>
  </w:style>
  <w:style w:type="character" w:styleId="ad">
    <w:name w:val="Intense Reference"/>
    <w:basedOn w:val="a0"/>
    <w:uiPriority w:val="32"/>
    <w:qFormat/>
    <w:rsid w:val="002F302D"/>
    <w:rPr>
      <w:b/>
      <w:bCs/>
      <w:smallCaps/>
      <w:color w:val="2F5496" w:themeColor="accent1" w:themeShade="BF"/>
      <w:spacing w:val="5"/>
    </w:rPr>
  </w:style>
  <w:style w:type="paragraph" w:styleId="ae">
    <w:name w:val="footnote text"/>
    <w:basedOn w:val="a"/>
    <w:link w:val="af"/>
    <w:uiPriority w:val="99"/>
    <w:semiHidden/>
    <w:unhideWhenUsed/>
    <w:rsid w:val="002F302D"/>
    <w:pPr>
      <w:bidi/>
      <w:spacing w:after="0" w:line="240" w:lineRule="auto"/>
      <w:jc w:val="both"/>
    </w:pPr>
    <w:rPr>
      <w:rFonts w:ascii="Noor_Nazli" w:hAnsi="Noor_Nazli" w:cs="Noor_Nazli"/>
      <w:kern w:val="0"/>
      <w:sz w:val="20"/>
      <w:szCs w:val="20"/>
      <w14:ligatures w14:val="none"/>
    </w:rPr>
  </w:style>
  <w:style w:type="character" w:customStyle="1" w:styleId="af">
    <w:name w:val="متن پاورقی نویسه"/>
    <w:basedOn w:val="a0"/>
    <w:link w:val="ae"/>
    <w:uiPriority w:val="99"/>
    <w:semiHidden/>
    <w:rsid w:val="002F302D"/>
    <w:rPr>
      <w:rFonts w:ascii="Noor_Nazli" w:hAnsi="Noor_Nazli" w:cs="Noor_Nazli"/>
      <w:kern w:val="0"/>
      <w:sz w:val="20"/>
      <w:szCs w:val="20"/>
      <w14:ligatures w14:val="none"/>
    </w:rPr>
  </w:style>
  <w:style w:type="character" w:styleId="af0">
    <w:name w:val="footnote reference"/>
    <w:basedOn w:val="a0"/>
    <w:uiPriority w:val="99"/>
    <w:semiHidden/>
    <w:unhideWhenUsed/>
    <w:rsid w:val="002F302D"/>
    <w:rPr>
      <w:vertAlign w:val="superscript"/>
    </w:rPr>
  </w:style>
  <w:style w:type="paragraph" w:styleId="af1">
    <w:name w:val="Normal (Web)"/>
    <w:basedOn w:val="a"/>
    <w:uiPriority w:val="99"/>
    <w:semiHidden/>
    <w:unhideWhenUsed/>
    <w:rsid w:val="002F302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or-h32">
    <w:name w:val="noor-h32"/>
    <w:basedOn w:val="a0"/>
    <w:rsid w:val="00CA236D"/>
    <w:rPr>
      <w:b/>
      <w:bCs/>
      <w:strike w:val="0"/>
      <w:dstrike w:val="0"/>
      <w:color w:val="000A78"/>
      <w:u w:val="none"/>
      <w:effect w:val="none"/>
    </w:rPr>
  </w:style>
  <w:style w:type="character" w:customStyle="1" w:styleId="m1">
    <w:name w:val="m1"/>
    <w:basedOn w:val="a0"/>
    <w:rsid w:val="00CA236D"/>
    <w:rPr>
      <w:b/>
      <w:bCs/>
      <w:color w:val="A52A2A"/>
    </w:rPr>
  </w:style>
  <w:style w:type="character" w:customStyle="1" w:styleId="line2">
    <w:name w:val="line2"/>
    <w:basedOn w:val="a0"/>
    <w:rsid w:val="00CA236D"/>
  </w:style>
  <w:style w:type="character" w:customStyle="1" w:styleId="sharh">
    <w:name w:val="sharh"/>
    <w:basedOn w:val="a0"/>
    <w:rsid w:val="00CA236D"/>
  </w:style>
  <w:style w:type="paragraph" w:styleId="af2">
    <w:name w:val="header"/>
    <w:basedOn w:val="a"/>
    <w:link w:val="af3"/>
    <w:uiPriority w:val="99"/>
    <w:unhideWhenUsed/>
    <w:rsid w:val="00FB249B"/>
    <w:pPr>
      <w:tabs>
        <w:tab w:val="center" w:pos="4680"/>
        <w:tab w:val="right" w:pos="9360"/>
      </w:tabs>
      <w:spacing w:after="0" w:line="240" w:lineRule="auto"/>
    </w:pPr>
  </w:style>
  <w:style w:type="character" w:customStyle="1" w:styleId="af3">
    <w:name w:val="سرصفحه نویسه"/>
    <w:basedOn w:val="a0"/>
    <w:link w:val="af2"/>
    <w:uiPriority w:val="99"/>
    <w:rsid w:val="00FB249B"/>
  </w:style>
  <w:style w:type="paragraph" w:styleId="af4">
    <w:name w:val="footer"/>
    <w:basedOn w:val="a"/>
    <w:link w:val="af5"/>
    <w:uiPriority w:val="99"/>
    <w:unhideWhenUsed/>
    <w:rsid w:val="00FB249B"/>
    <w:pPr>
      <w:tabs>
        <w:tab w:val="center" w:pos="4680"/>
        <w:tab w:val="right" w:pos="9360"/>
      </w:tabs>
      <w:spacing w:after="0" w:line="240" w:lineRule="auto"/>
    </w:pPr>
  </w:style>
  <w:style w:type="character" w:customStyle="1" w:styleId="af5">
    <w:name w:val="پانویس نویسه"/>
    <w:basedOn w:val="a0"/>
    <w:link w:val="af4"/>
    <w:uiPriority w:val="99"/>
    <w:rsid w:val="00FB2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0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F30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F302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F302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F302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F30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30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30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30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2F302D"/>
    <w:rPr>
      <w:rFonts w:asciiTheme="majorHAnsi" w:eastAsiaTheme="majorEastAsia" w:hAnsiTheme="majorHAnsi" w:cstheme="majorBidi"/>
      <w:color w:val="2F5496" w:themeColor="accent1" w:themeShade="BF"/>
      <w:sz w:val="40"/>
      <w:szCs w:val="40"/>
    </w:rPr>
  </w:style>
  <w:style w:type="character" w:customStyle="1" w:styleId="20">
    <w:name w:val="عنوان 2 نویسه"/>
    <w:basedOn w:val="a0"/>
    <w:link w:val="2"/>
    <w:uiPriority w:val="9"/>
    <w:semiHidden/>
    <w:rsid w:val="002F302D"/>
    <w:rPr>
      <w:rFonts w:asciiTheme="majorHAnsi" w:eastAsiaTheme="majorEastAsia" w:hAnsiTheme="majorHAnsi" w:cstheme="majorBidi"/>
      <w:color w:val="2F5496" w:themeColor="accent1" w:themeShade="BF"/>
      <w:sz w:val="32"/>
      <w:szCs w:val="32"/>
    </w:rPr>
  </w:style>
  <w:style w:type="character" w:customStyle="1" w:styleId="30">
    <w:name w:val="عنوان 3 نویسه"/>
    <w:basedOn w:val="a0"/>
    <w:link w:val="3"/>
    <w:uiPriority w:val="9"/>
    <w:semiHidden/>
    <w:rsid w:val="002F302D"/>
    <w:rPr>
      <w:rFonts w:eastAsiaTheme="majorEastAsia" w:cstheme="majorBidi"/>
      <w:color w:val="2F5496" w:themeColor="accent1" w:themeShade="BF"/>
      <w:sz w:val="28"/>
      <w:szCs w:val="28"/>
    </w:rPr>
  </w:style>
  <w:style w:type="character" w:customStyle="1" w:styleId="40">
    <w:name w:val="عنوان 4 نویسه"/>
    <w:basedOn w:val="a0"/>
    <w:link w:val="4"/>
    <w:uiPriority w:val="9"/>
    <w:semiHidden/>
    <w:rsid w:val="002F302D"/>
    <w:rPr>
      <w:rFonts w:eastAsiaTheme="majorEastAsia" w:cstheme="majorBidi"/>
      <w:i/>
      <w:iCs/>
      <w:color w:val="2F5496" w:themeColor="accent1" w:themeShade="BF"/>
    </w:rPr>
  </w:style>
  <w:style w:type="character" w:customStyle="1" w:styleId="50">
    <w:name w:val="سرصفحه 5 نویسه"/>
    <w:basedOn w:val="a0"/>
    <w:link w:val="5"/>
    <w:uiPriority w:val="9"/>
    <w:semiHidden/>
    <w:rsid w:val="002F302D"/>
    <w:rPr>
      <w:rFonts w:eastAsiaTheme="majorEastAsia" w:cstheme="majorBidi"/>
      <w:color w:val="2F5496" w:themeColor="accent1" w:themeShade="BF"/>
    </w:rPr>
  </w:style>
  <w:style w:type="character" w:customStyle="1" w:styleId="60">
    <w:name w:val="سرصفحه 6 نویسه"/>
    <w:basedOn w:val="a0"/>
    <w:link w:val="6"/>
    <w:uiPriority w:val="9"/>
    <w:semiHidden/>
    <w:rsid w:val="002F302D"/>
    <w:rPr>
      <w:rFonts w:eastAsiaTheme="majorEastAsia" w:cstheme="majorBidi"/>
      <w:i/>
      <w:iCs/>
      <w:color w:val="595959" w:themeColor="text1" w:themeTint="A6"/>
    </w:rPr>
  </w:style>
  <w:style w:type="character" w:customStyle="1" w:styleId="70">
    <w:name w:val="سرصفحه 7 نویسه"/>
    <w:basedOn w:val="a0"/>
    <w:link w:val="7"/>
    <w:uiPriority w:val="9"/>
    <w:semiHidden/>
    <w:rsid w:val="002F302D"/>
    <w:rPr>
      <w:rFonts w:eastAsiaTheme="majorEastAsia" w:cstheme="majorBidi"/>
      <w:color w:val="595959" w:themeColor="text1" w:themeTint="A6"/>
    </w:rPr>
  </w:style>
  <w:style w:type="character" w:customStyle="1" w:styleId="80">
    <w:name w:val="سرصفحه 8 نویسه"/>
    <w:basedOn w:val="a0"/>
    <w:link w:val="8"/>
    <w:uiPriority w:val="9"/>
    <w:semiHidden/>
    <w:rsid w:val="002F302D"/>
    <w:rPr>
      <w:rFonts w:eastAsiaTheme="majorEastAsia" w:cstheme="majorBidi"/>
      <w:i/>
      <w:iCs/>
      <w:color w:val="272727" w:themeColor="text1" w:themeTint="D8"/>
    </w:rPr>
  </w:style>
  <w:style w:type="character" w:customStyle="1" w:styleId="90">
    <w:name w:val="سرصفحه 9 نویسه"/>
    <w:basedOn w:val="a0"/>
    <w:link w:val="9"/>
    <w:uiPriority w:val="9"/>
    <w:semiHidden/>
    <w:rsid w:val="002F302D"/>
    <w:rPr>
      <w:rFonts w:eastAsiaTheme="majorEastAsia" w:cstheme="majorBidi"/>
      <w:color w:val="272727" w:themeColor="text1" w:themeTint="D8"/>
    </w:rPr>
  </w:style>
  <w:style w:type="paragraph" w:styleId="a3">
    <w:name w:val="Title"/>
    <w:basedOn w:val="a"/>
    <w:next w:val="a"/>
    <w:link w:val="a4"/>
    <w:uiPriority w:val="10"/>
    <w:qFormat/>
    <w:rsid w:val="002F3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عنوان نویسه"/>
    <w:basedOn w:val="a0"/>
    <w:link w:val="a3"/>
    <w:uiPriority w:val="10"/>
    <w:rsid w:val="002F3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02D"/>
    <w:pPr>
      <w:numPr>
        <w:ilvl w:val="1"/>
      </w:numPr>
    </w:pPr>
    <w:rPr>
      <w:rFonts w:eastAsiaTheme="majorEastAsia" w:cstheme="majorBidi"/>
      <w:color w:val="595959" w:themeColor="text1" w:themeTint="A6"/>
      <w:spacing w:val="15"/>
      <w:sz w:val="28"/>
      <w:szCs w:val="28"/>
    </w:rPr>
  </w:style>
  <w:style w:type="character" w:customStyle="1" w:styleId="a6">
    <w:name w:val="زیر نویس نویسه"/>
    <w:basedOn w:val="a0"/>
    <w:link w:val="a5"/>
    <w:uiPriority w:val="11"/>
    <w:rsid w:val="002F302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F302D"/>
    <w:pPr>
      <w:spacing w:before="160"/>
      <w:jc w:val="center"/>
    </w:pPr>
    <w:rPr>
      <w:i/>
      <w:iCs/>
      <w:color w:val="404040" w:themeColor="text1" w:themeTint="BF"/>
    </w:rPr>
  </w:style>
  <w:style w:type="character" w:customStyle="1" w:styleId="a8">
    <w:name w:val="نقل قول نویسه"/>
    <w:basedOn w:val="a0"/>
    <w:link w:val="a7"/>
    <w:uiPriority w:val="29"/>
    <w:rsid w:val="002F302D"/>
    <w:rPr>
      <w:i/>
      <w:iCs/>
      <w:color w:val="404040" w:themeColor="text1" w:themeTint="BF"/>
    </w:rPr>
  </w:style>
  <w:style w:type="paragraph" w:styleId="a9">
    <w:name w:val="List Paragraph"/>
    <w:basedOn w:val="a"/>
    <w:uiPriority w:val="34"/>
    <w:qFormat/>
    <w:rsid w:val="002F302D"/>
    <w:pPr>
      <w:ind w:left="720"/>
      <w:contextualSpacing/>
    </w:pPr>
  </w:style>
  <w:style w:type="character" w:styleId="aa">
    <w:name w:val="Intense Emphasis"/>
    <w:basedOn w:val="a0"/>
    <w:uiPriority w:val="21"/>
    <w:qFormat/>
    <w:rsid w:val="002F302D"/>
    <w:rPr>
      <w:i/>
      <w:iCs/>
      <w:color w:val="2F5496" w:themeColor="accent1" w:themeShade="BF"/>
    </w:rPr>
  </w:style>
  <w:style w:type="paragraph" w:styleId="ab">
    <w:name w:val="Intense Quote"/>
    <w:basedOn w:val="a"/>
    <w:next w:val="a"/>
    <w:link w:val="ac"/>
    <w:uiPriority w:val="30"/>
    <w:qFormat/>
    <w:rsid w:val="002F3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نقل قول قوی نویسه"/>
    <w:basedOn w:val="a0"/>
    <w:link w:val="ab"/>
    <w:uiPriority w:val="30"/>
    <w:rsid w:val="002F302D"/>
    <w:rPr>
      <w:i/>
      <w:iCs/>
      <w:color w:val="2F5496" w:themeColor="accent1" w:themeShade="BF"/>
    </w:rPr>
  </w:style>
  <w:style w:type="character" w:styleId="ad">
    <w:name w:val="Intense Reference"/>
    <w:basedOn w:val="a0"/>
    <w:uiPriority w:val="32"/>
    <w:qFormat/>
    <w:rsid w:val="002F302D"/>
    <w:rPr>
      <w:b/>
      <w:bCs/>
      <w:smallCaps/>
      <w:color w:val="2F5496" w:themeColor="accent1" w:themeShade="BF"/>
      <w:spacing w:val="5"/>
    </w:rPr>
  </w:style>
  <w:style w:type="paragraph" w:styleId="ae">
    <w:name w:val="footnote text"/>
    <w:basedOn w:val="a"/>
    <w:link w:val="af"/>
    <w:uiPriority w:val="99"/>
    <w:semiHidden/>
    <w:unhideWhenUsed/>
    <w:rsid w:val="002F302D"/>
    <w:pPr>
      <w:bidi/>
      <w:spacing w:after="0" w:line="240" w:lineRule="auto"/>
      <w:jc w:val="both"/>
    </w:pPr>
    <w:rPr>
      <w:rFonts w:ascii="Noor_Nazli" w:hAnsi="Noor_Nazli" w:cs="Noor_Nazli"/>
      <w:kern w:val="0"/>
      <w:sz w:val="20"/>
      <w:szCs w:val="20"/>
      <w14:ligatures w14:val="none"/>
    </w:rPr>
  </w:style>
  <w:style w:type="character" w:customStyle="1" w:styleId="af">
    <w:name w:val="متن پاورقی نویسه"/>
    <w:basedOn w:val="a0"/>
    <w:link w:val="ae"/>
    <w:uiPriority w:val="99"/>
    <w:semiHidden/>
    <w:rsid w:val="002F302D"/>
    <w:rPr>
      <w:rFonts w:ascii="Noor_Nazli" w:hAnsi="Noor_Nazli" w:cs="Noor_Nazli"/>
      <w:kern w:val="0"/>
      <w:sz w:val="20"/>
      <w:szCs w:val="20"/>
      <w14:ligatures w14:val="none"/>
    </w:rPr>
  </w:style>
  <w:style w:type="character" w:styleId="af0">
    <w:name w:val="footnote reference"/>
    <w:basedOn w:val="a0"/>
    <w:uiPriority w:val="99"/>
    <w:semiHidden/>
    <w:unhideWhenUsed/>
    <w:rsid w:val="002F302D"/>
    <w:rPr>
      <w:vertAlign w:val="superscript"/>
    </w:rPr>
  </w:style>
  <w:style w:type="paragraph" w:styleId="af1">
    <w:name w:val="Normal (Web)"/>
    <w:basedOn w:val="a"/>
    <w:uiPriority w:val="99"/>
    <w:semiHidden/>
    <w:unhideWhenUsed/>
    <w:rsid w:val="002F302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or-h32">
    <w:name w:val="noor-h32"/>
    <w:basedOn w:val="a0"/>
    <w:rsid w:val="00CA236D"/>
    <w:rPr>
      <w:b/>
      <w:bCs/>
      <w:strike w:val="0"/>
      <w:dstrike w:val="0"/>
      <w:color w:val="000A78"/>
      <w:u w:val="none"/>
      <w:effect w:val="none"/>
    </w:rPr>
  </w:style>
  <w:style w:type="character" w:customStyle="1" w:styleId="m1">
    <w:name w:val="m1"/>
    <w:basedOn w:val="a0"/>
    <w:rsid w:val="00CA236D"/>
    <w:rPr>
      <w:b/>
      <w:bCs/>
      <w:color w:val="A52A2A"/>
    </w:rPr>
  </w:style>
  <w:style w:type="character" w:customStyle="1" w:styleId="line2">
    <w:name w:val="line2"/>
    <w:basedOn w:val="a0"/>
    <w:rsid w:val="00CA236D"/>
  </w:style>
  <w:style w:type="character" w:customStyle="1" w:styleId="sharh">
    <w:name w:val="sharh"/>
    <w:basedOn w:val="a0"/>
    <w:rsid w:val="00CA236D"/>
  </w:style>
  <w:style w:type="paragraph" w:styleId="af2">
    <w:name w:val="header"/>
    <w:basedOn w:val="a"/>
    <w:link w:val="af3"/>
    <w:uiPriority w:val="99"/>
    <w:unhideWhenUsed/>
    <w:rsid w:val="00FB249B"/>
    <w:pPr>
      <w:tabs>
        <w:tab w:val="center" w:pos="4680"/>
        <w:tab w:val="right" w:pos="9360"/>
      </w:tabs>
      <w:spacing w:after="0" w:line="240" w:lineRule="auto"/>
    </w:pPr>
  </w:style>
  <w:style w:type="character" w:customStyle="1" w:styleId="af3">
    <w:name w:val="سرصفحه نویسه"/>
    <w:basedOn w:val="a0"/>
    <w:link w:val="af2"/>
    <w:uiPriority w:val="99"/>
    <w:rsid w:val="00FB249B"/>
  </w:style>
  <w:style w:type="paragraph" w:styleId="af4">
    <w:name w:val="footer"/>
    <w:basedOn w:val="a"/>
    <w:link w:val="af5"/>
    <w:uiPriority w:val="99"/>
    <w:unhideWhenUsed/>
    <w:rsid w:val="00FB249B"/>
    <w:pPr>
      <w:tabs>
        <w:tab w:val="center" w:pos="4680"/>
        <w:tab w:val="right" w:pos="9360"/>
      </w:tabs>
      <w:spacing w:after="0" w:line="240" w:lineRule="auto"/>
    </w:pPr>
  </w:style>
  <w:style w:type="character" w:customStyle="1" w:styleId="af5">
    <w:name w:val="پانویس نویسه"/>
    <w:basedOn w:val="a0"/>
    <w:link w:val="af4"/>
    <w:uiPriority w:val="99"/>
    <w:rsid w:val="00FB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Noor_14522_006</b:Tag>
    <b:SourceType>Book</b:SourceType>
    <b:Title>العروة الوثقی و التعلیقات علیها</b:Title>
    <b:Author>
      <b:Author>
        <b:NameList>
          <b:Person>
            <b:Last>یزدی</b:Last>
            <b:First>محمد کاظم بن عبد العظیم</b:First>
          </b:Person>
        </b:NameList>
      </b:Author>
    </b:Author>
    <b:NumberVolumes>15</b:NumberVolumes>
    <b:Volume>6</b:Volume>
    <b:Publisher>مؤسسة السبطين عليهما السلام العالمية</b:Publisher>
    <b:Edition>1</b:Edition>
    <b:Year>1388 ه.ش.</b:Year>
    <b:City>قم</b:City>
    <b:CountryRegion>ایران</b:CountryRegion>
    <b:LCID>fa-IR</b:LCID>
  </b:Source>
  <b:Source>
    <b:Tag>Noor_01726_001</b:Tag>
    <b:SourceType>Book</b:SourceType>
    <b:Title>الحاشیة علی تهذیب المنطق للتفتازاني</b:Title>
    <b:Author>
      <b:Author>
        <b:NameList>
          <b:Person>
            <b:Last>یزدی</b:Last>
            <b:First>عبد الله بن حسین</b:First>
          </b:Person>
        </b:NameList>
      </b:Author>
    </b:Author>
    <b:Publisher>جماعة المدرسين في الحوزة العلمیة بقم. مؤسسة النشر الإسلامي</b:Publisher>
    <b:Edition>2</b:Edition>
    <b:Year>1412 ه.ق.</b:Year>
    <b:City>قم</b:City>
    <b:CountryRegion>ایران</b:CountryRegion>
    <b:LCID>fa-IR</b:LCID>
  </b:Source>
</b:Sources>
</file>

<file path=customXml/itemProps1.xml><?xml version="1.0" encoding="utf-8"?>
<ds:datastoreItem xmlns:ds="http://schemas.openxmlformats.org/officeDocument/2006/customXml" ds:itemID="{AD81A106-AE86-49E2-AAD4-0235DC45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1732</Words>
  <Characters>9874</Characters>
  <Application>Microsoft Office Word</Application>
  <DocSecurity>0</DocSecurity>
  <Lines>82</Lines>
  <Paragraphs>23</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J</dc:creator>
  <cp:keywords/>
  <dc:description/>
  <cp:lastModifiedBy>shoopaei</cp:lastModifiedBy>
  <cp:revision>2</cp:revision>
  <dcterms:created xsi:type="dcterms:W3CDTF">2025-09-07T05:14:00Z</dcterms:created>
  <dcterms:modified xsi:type="dcterms:W3CDTF">2025-09-07T18:54:00Z</dcterms:modified>
</cp:coreProperties>
</file>