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A0" w:rsidRPr="00D71F68" w:rsidRDefault="00AF7E9C" w:rsidP="00BB32BA">
      <w:pPr>
        <w:jc w:val="highKashida"/>
        <w:rPr>
          <w:rFonts w:cs="Taher"/>
          <w:color w:val="000000" w:themeColor="text1"/>
          <w:sz w:val="32"/>
          <w:szCs w:val="32"/>
          <w:rtl/>
        </w:rPr>
      </w:pP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</w:rPr>
        <w:t>تقر</w:t>
      </w:r>
      <w:r w:rsidR="00042C05" w:rsidRPr="00D71F68">
        <w:rPr>
          <w:rFonts w:cs="Taher" w:hint="cs"/>
          <w:color w:val="000000" w:themeColor="text1"/>
          <w:sz w:val="32"/>
          <w:szCs w:val="32"/>
          <w:rtl/>
        </w:rPr>
        <w:t>ي</w:t>
      </w:r>
      <w:r w:rsidRPr="00D71F68">
        <w:rPr>
          <w:rFonts w:cs="Taher" w:hint="cs"/>
          <w:color w:val="000000" w:themeColor="text1"/>
          <w:sz w:val="32"/>
          <w:szCs w:val="32"/>
          <w:rtl/>
        </w:rPr>
        <w:t>رات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</w:rPr>
        <w:t>صلاة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</w:rPr>
        <w:t xml:space="preserve"> جلسه 8</w:t>
      </w:r>
      <w:bookmarkStart w:id="0" w:name="_GoBack"/>
      <w:bookmarkEnd w:id="0"/>
    </w:p>
    <w:p w:rsidR="00BB32BA" w:rsidRPr="00D71F68" w:rsidRDefault="00042C05" w:rsidP="00694759">
      <w:pPr>
        <w:pStyle w:val="a3"/>
        <w:bidi/>
        <w:jc w:val="highKashida"/>
        <w:rPr>
          <w:rFonts w:cs="Taher"/>
          <w:color w:val="000000" w:themeColor="text1"/>
          <w:sz w:val="32"/>
          <w:szCs w:val="32"/>
          <w:rtl/>
          <w:lang w:bidi="fa-IR"/>
        </w:rPr>
      </w:pPr>
      <w:r w:rsidRPr="00D71F68">
        <w:rPr>
          <w:rFonts w:ascii="Taher" w:cs="Taher" w:hint="cs"/>
          <w:b/>
          <w:bCs/>
          <w:color w:val="000000" w:themeColor="text1"/>
          <w:sz w:val="32"/>
          <w:szCs w:val="32"/>
          <w:u w:val="single"/>
          <w:rtl/>
        </w:rPr>
        <w:t>(</w:t>
      </w:r>
      <w:r w:rsidRPr="00D71F68">
        <w:rPr>
          <w:rFonts w:cs="Taher" w:hint="cs"/>
          <w:b/>
          <w:bCs/>
          <w:color w:val="000000" w:themeColor="text1"/>
          <w:sz w:val="32"/>
          <w:szCs w:val="32"/>
          <w:u w:val="single"/>
          <w:rtl/>
          <w:lang w:bidi="ar-SA"/>
        </w:rPr>
        <w:t>المورد الثالث</w:t>
      </w:r>
      <w:r w:rsidRPr="00D71F68">
        <w:rPr>
          <w:rFonts w:ascii="Taher" w:cs="Taher" w:hint="cs"/>
          <w:b/>
          <w:bCs/>
          <w:color w:val="000000" w:themeColor="text1"/>
          <w:sz w:val="32"/>
          <w:szCs w:val="32"/>
          <w:u w:val="single"/>
          <w:rtl/>
        </w:rPr>
        <w:t>):</w:t>
      </w:r>
      <w:r w:rsidRPr="00D71F68">
        <w:rPr>
          <w:rFonts w:cs="Taher" w:hint="cs"/>
          <w:color w:val="000000" w:themeColor="text1"/>
          <w:sz w:val="32"/>
          <w:szCs w:val="32"/>
          <w:rtl/>
          <w:lang w:bidi="ar-SA"/>
        </w:rPr>
        <w:t xml:space="preserve">من الموارد التي وقع التأمل فيها من کلام السيدالماتن ره في المطلب </w:t>
      </w:r>
      <w:r w:rsidR="00694759">
        <w:rPr>
          <w:rFonts w:cs="Taher" w:hint="cs"/>
          <w:color w:val="000000" w:themeColor="text1"/>
          <w:sz w:val="32"/>
          <w:szCs w:val="32"/>
          <w:rtl/>
          <w:lang w:bidi="ar-SA"/>
        </w:rPr>
        <w:t>الاول</w:t>
      </w:r>
      <w:r w:rsidRPr="00D71F68">
        <w:rPr>
          <w:rFonts w:cs="Taher" w:hint="cs"/>
          <w:color w:val="000000" w:themeColor="text1"/>
          <w:sz w:val="32"/>
          <w:szCs w:val="32"/>
          <w:rtl/>
          <w:lang w:bidi="ar-SA"/>
        </w:rPr>
        <w:t xml:space="preserve"> انه عدّ من الصلوات الواجبة الملتزم بنذر اوعهد اويمين اواجارة، واستشکل فيه السيدالامام ره وذکر في تعليقة العروة ان </w:t>
      </w:r>
      <w:r w:rsidRPr="00D71F68">
        <w:rPr>
          <w:rFonts w:ascii="Noor_Lotus" w:hAnsi="Noor_Lotus" w:cs="Taher" w:hint="cs"/>
          <w:color w:val="000000" w:themeColor="text1"/>
          <w:sz w:val="32"/>
          <w:szCs w:val="32"/>
          <w:rtl/>
          <w:lang w:bidi="ar-SA"/>
        </w:rPr>
        <w:t>عدّ الملتزم بالنذر و شبهه من الصلوات الواجبة مسامحة لعدم صيرورة المنذور واجباً</w:t>
      </w:r>
      <w:r w:rsidR="00BB32BA" w:rsidRPr="00D71F68">
        <w:rPr>
          <w:rFonts w:cs="Taher" w:hint="cs"/>
          <w:color w:val="000000" w:themeColor="text1"/>
          <w:sz w:val="32"/>
          <w:szCs w:val="32"/>
          <w:rtl/>
          <w:lang w:bidi="ar-SA"/>
        </w:rPr>
        <w:t xml:space="preserve"> واوضحه في الاصول </w:t>
      </w:r>
      <w:proofErr w:type="spellStart"/>
      <w:r w:rsidR="00BB32BA" w:rsidRPr="00D71F68">
        <w:rPr>
          <w:rFonts w:ascii="Noor_Nazli" w:hAnsi="Noor_Nazli" w:cs="Taher" w:hint="cs"/>
          <w:color w:val="000000" w:themeColor="text1"/>
          <w:sz w:val="32"/>
          <w:szCs w:val="32"/>
          <w:rtl/>
          <w:lang w:bidi="fa-IR"/>
        </w:rPr>
        <w:t>في</w:t>
      </w:r>
      <w:proofErr w:type="spellEnd"/>
      <w:r w:rsidR="00BB32BA" w:rsidRPr="00D71F68">
        <w:rPr>
          <w:rFonts w:ascii="Noor_Nazli" w:hAnsi="Noor_Nazli" w:cs="Taher" w:hint="cs"/>
          <w:color w:val="000000" w:themeColor="text1"/>
          <w:sz w:val="32"/>
          <w:szCs w:val="32"/>
          <w:rtl/>
          <w:lang w:bidi="fa-IR"/>
        </w:rPr>
        <w:t xml:space="preserve"> مبحث اجتماع </w:t>
      </w:r>
      <w:proofErr w:type="spellStart"/>
      <w:r w:rsidR="00BB32BA" w:rsidRPr="00D71F68">
        <w:rPr>
          <w:rFonts w:ascii="Noor_Nazli" w:hAnsi="Noor_Nazli" w:cs="Taher" w:hint="cs"/>
          <w:color w:val="000000" w:themeColor="text1"/>
          <w:sz w:val="32"/>
          <w:szCs w:val="32"/>
          <w:rtl/>
          <w:lang w:bidi="fa-IR"/>
        </w:rPr>
        <w:t>الامروالنهي</w:t>
      </w:r>
      <w:proofErr w:type="spellEnd"/>
      <w:r w:rsidR="00BB32BA" w:rsidRPr="00D71F68">
        <w:rPr>
          <w:rFonts w:ascii="Noor_Nazli" w:hAnsi="Noor_Nazli" w:cs="Taher" w:hint="cs"/>
          <w:color w:val="000000" w:themeColor="text1"/>
          <w:sz w:val="32"/>
          <w:szCs w:val="32"/>
          <w:rtl/>
          <w:lang w:bidi="fa-IR"/>
        </w:rPr>
        <w:t xml:space="preserve"> بان</w:t>
      </w:r>
      <w:r w:rsidR="00BB32BA" w:rsidRPr="00D71F68">
        <w:rPr>
          <w:rFonts w:ascii="Noor_Nazli" w:hAnsi="Noor_Nazli" w:cs="Taher" w:hint="cs"/>
          <w:color w:val="000000" w:themeColor="text1"/>
          <w:sz w:val="32"/>
          <w:szCs w:val="32"/>
          <w:rtl/>
          <w:lang w:bidi="ar-SA"/>
        </w:rPr>
        <w:t xml:space="preserve"> الأمر الاستحبابي </w:t>
      </w:r>
      <w:proofErr w:type="spellStart"/>
      <w:r w:rsidR="00BB32BA" w:rsidRPr="00D71F68">
        <w:rPr>
          <w:rFonts w:ascii="Noor_Nazli" w:hAnsi="Noor_Nazli" w:cs="Taher" w:hint="cs"/>
          <w:color w:val="000000" w:themeColor="text1"/>
          <w:sz w:val="32"/>
          <w:szCs w:val="32"/>
          <w:rtl/>
          <w:lang w:bidi="fa-IR"/>
        </w:rPr>
        <w:t>في</w:t>
      </w:r>
      <w:proofErr w:type="spellEnd"/>
      <w:r w:rsidR="00BB32BA" w:rsidRPr="00D71F68">
        <w:rPr>
          <w:rFonts w:ascii="Noor_Nazli" w:hAnsi="Noor_Nazli" w:cs="Taher" w:hint="cs"/>
          <w:color w:val="000000" w:themeColor="text1"/>
          <w:sz w:val="32"/>
          <w:szCs w:val="32"/>
          <w:rtl/>
          <w:lang w:bidi="fa-IR"/>
        </w:rPr>
        <w:t xml:space="preserve"> مثل </w:t>
      </w:r>
      <w:proofErr w:type="spellStart"/>
      <w:r w:rsidR="00BB32BA" w:rsidRPr="00D71F68">
        <w:rPr>
          <w:rFonts w:ascii="Noor_Nazli" w:hAnsi="Noor_Nazli" w:cs="Taher" w:hint="cs"/>
          <w:color w:val="000000" w:themeColor="text1"/>
          <w:sz w:val="32"/>
          <w:szCs w:val="32"/>
          <w:rtl/>
          <w:lang w:bidi="fa-IR"/>
        </w:rPr>
        <w:t>صلاة</w:t>
      </w:r>
      <w:proofErr w:type="spellEnd"/>
      <w:r w:rsidR="00BB32BA" w:rsidRPr="00D71F68">
        <w:rPr>
          <w:rFonts w:ascii="Noor_Nazli" w:hAnsi="Noor_Nazli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BB32BA" w:rsidRPr="00D71F68">
        <w:rPr>
          <w:rFonts w:ascii="Noor_Nazli" w:hAnsi="Noor_Nazli" w:cs="Taher" w:hint="cs"/>
          <w:color w:val="000000" w:themeColor="text1"/>
          <w:sz w:val="32"/>
          <w:szCs w:val="32"/>
          <w:rtl/>
          <w:lang w:bidi="fa-IR"/>
        </w:rPr>
        <w:t>الليل</w:t>
      </w:r>
      <w:proofErr w:type="spellEnd"/>
      <w:r w:rsidR="00BB32BA" w:rsidRPr="00D71F68">
        <w:rPr>
          <w:rFonts w:ascii="Noor_Nazli" w:hAnsi="Noor_Nazli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BB32BA" w:rsidRPr="00D71F68">
        <w:rPr>
          <w:rFonts w:ascii="Noor_Nazli" w:hAnsi="Noor_Nazli" w:cs="Taher" w:hint="cs"/>
          <w:color w:val="000000" w:themeColor="text1"/>
          <w:sz w:val="32"/>
          <w:szCs w:val="32"/>
          <w:rtl/>
          <w:lang w:bidi="ar-SA"/>
        </w:rPr>
        <w:t>تعلّق بعنوان الصلاة و الأمر الوجوبي بعنوان الوفاء بالنذر، فالعنوانان في ظرف تعلّق الأحكام مختلفان، و متّحدان في الوجود الخارجي، و هو ليس ظرف تعلّق الحكم</w:t>
      </w:r>
      <w:r w:rsidR="00BB32BA" w:rsidRPr="00D71F68">
        <w:rPr>
          <w:rFonts w:ascii="Taher" w:hAnsi="Noor_Nazli" w:cs="Taher" w:hint="cs"/>
          <w:color w:val="000000" w:themeColor="text1"/>
          <w:sz w:val="32"/>
          <w:szCs w:val="32"/>
          <w:rtl/>
        </w:rPr>
        <w:t>.</w:t>
      </w:r>
      <w:r w:rsidR="00BB32BA" w:rsidRPr="00D71F68">
        <w:rPr>
          <w:rFonts w:ascii="Noor_Nazli" w:hAnsi="Noor_Nazli" w:cs="Taher" w:hint="cs"/>
          <w:color w:val="000000" w:themeColor="text1"/>
          <w:sz w:val="32"/>
          <w:szCs w:val="32"/>
          <w:rtl/>
          <w:lang w:bidi="ar-SA"/>
        </w:rPr>
        <w:t>فلو نذر أن يصلّي صلاة الليل يجب عليه الوفاء بالنذر، و لا يحصل الوفاء إلّا بإتيان الصلاة الاستحبابي لا غير، فالصلاة الخارجي مصداق لعنواني الوفاء بالنذر و الصلاة، و قد انطبق العنوانان عليها في الخارج</w:t>
      </w:r>
      <w:r w:rsidR="00BB32BA" w:rsidRPr="00D71F68">
        <w:rPr>
          <w:rFonts w:ascii="Taher" w:hAnsi="Noor_Nazli" w:cs="Taher" w:hint="cs"/>
          <w:color w:val="000000" w:themeColor="text1"/>
          <w:sz w:val="32"/>
          <w:szCs w:val="32"/>
          <w:rtl/>
        </w:rPr>
        <w:t>.</w:t>
      </w:r>
      <w:r w:rsidR="00BB32BA" w:rsidRPr="00D71F68">
        <w:rPr>
          <w:rFonts w:ascii="Noor_Nazli" w:hAnsi="Noor_Nazli" w:cs="Taher" w:hint="cs"/>
          <w:color w:val="000000" w:themeColor="text1"/>
          <w:sz w:val="32"/>
          <w:szCs w:val="32"/>
          <w:rtl/>
          <w:lang w:bidi="ar-SA"/>
        </w:rPr>
        <w:t>و مثلها الإجارة؛ فإنّ الأمر الوجوبي تعلّق بنفس الوفاء بالعقد، و الأمرالاستحبابي بنفس الصلاة المستحبّة، أو تعلّق أمر وجوبي آخر بنفس الصلاة على الولي</w:t>
      </w:r>
      <w:r w:rsidR="00BB32BA" w:rsidRPr="00D71F68">
        <w:rPr>
          <w:rFonts w:ascii="Taher" w:hAnsi="Noor_Nazli" w:cs="Taher" w:hint="cs"/>
          <w:color w:val="000000" w:themeColor="text1"/>
          <w:sz w:val="32"/>
          <w:szCs w:val="32"/>
          <w:rtl/>
        </w:rPr>
        <w:t>.</w:t>
      </w:r>
      <w:r w:rsidR="00BB32BA" w:rsidRPr="00D71F68">
        <w:rPr>
          <w:rStyle w:val="a6"/>
          <w:rFonts w:ascii="Noor_Nazli" w:eastAsiaTheme="minorEastAsia" w:hAnsi="Noor_Nazli" w:cs="Taher"/>
          <w:color w:val="000000" w:themeColor="text1"/>
          <w:sz w:val="32"/>
          <w:szCs w:val="32"/>
          <w:rtl/>
        </w:rPr>
        <w:footnoteReference w:id="1"/>
      </w:r>
    </w:p>
    <w:p w:rsidR="00AF3F9C" w:rsidRPr="00D71F68" w:rsidRDefault="001E2F61" w:rsidP="004E6E1E">
      <w:pPr>
        <w:pStyle w:val="a3"/>
        <w:bidi/>
        <w:jc w:val="center"/>
        <w:rPr>
          <w:rFonts w:ascii="NoorLotus" w:hAnsi="NoorLotus" w:cs="Taher"/>
          <w:color w:val="000000" w:themeColor="text1"/>
          <w:sz w:val="32"/>
          <w:szCs w:val="32"/>
          <w:rtl/>
          <w:lang w:bidi="fa-IR"/>
        </w:rPr>
      </w:pPr>
      <w:proofErr w:type="spellStart"/>
      <w:r w:rsidRPr="00D71F68">
        <w:rPr>
          <w:rFonts w:cs="Taher" w:hint="cs"/>
          <w:b/>
          <w:bCs/>
          <w:color w:val="000000" w:themeColor="text1"/>
          <w:sz w:val="32"/>
          <w:szCs w:val="32"/>
          <w:u w:val="single"/>
          <w:rtl/>
          <w:lang w:bidi="fa-IR"/>
        </w:rPr>
        <w:t>ولکنه</w:t>
      </w:r>
      <w:proofErr w:type="spellEnd"/>
      <w:r w:rsidRPr="00D71F68">
        <w:rPr>
          <w:rFonts w:cs="Taher" w:hint="cs"/>
          <w:b/>
          <w:bCs/>
          <w:color w:val="000000" w:themeColor="text1"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D71F68">
        <w:rPr>
          <w:rFonts w:cs="Taher" w:hint="cs"/>
          <w:b/>
          <w:bCs/>
          <w:color w:val="000000" w:themeColor="text1"/>
          <w:sz w:val="32"/>
          <w:szCs w:val="32"/>
          <w:u w:val="single"/>
          <w:rtl/>
          <w:lang w:bidi="fa-IR"/>
        </w:rPr>
        <w:t>يلاحظ</w:t>
      </w:r>
      <w:proofErr w:type="spellEnd"/>
      <w:r w:rsidRPr="00D71F68">
        <w:rPr>
          <w:rFonts w:cs="Taher" w:hint="cs"/>
          <w:b/>
          <w:bCs/>
          <w:color w:val="000000" w:themeColor="text1"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D71F68">
        <w:rPr>
          <w:rFonts w:cs="Taher" w:hint="cs"/>
          <w:b/>
          <w:bCs/>
          <w:color w:val="000000" w:themeColor="text1"/>
          <w:sz w:val="32"/>
          <w:szCs w:val="32"/>
          <w:u w:val="single"/>
          <w:rtl/>
          <w:lang w:bidi="fa-IR"/>
        </w:rPr>
        <w:t>عليه:</w:t>
      </w:r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بان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هذا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منه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قده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مبني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علی تعلق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الاحکام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بالعناوين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لا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بالمعنونات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والموجودات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الخارجية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وان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الوجود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الخارجي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مسقط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للحکم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لا متعلق له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وفاقاً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للمحقق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الاصفهاني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ره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وغيره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من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القائلين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بجواز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اجتماع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الامروالنهي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وخلافاً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لما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عليه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المحقق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الخراساني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ره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وعدة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من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المحققين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کشيخنا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الاستاذ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ره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وغيره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من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القائلين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بامتناع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اجتماع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الامر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والنهي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،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وعمدة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ما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استنداليه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القائلون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بجواز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اجتماع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الامروالنهي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وان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الحکم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يتعلق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بالعنوان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لا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بالمعنون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و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الوجودالخارجي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ان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الحکم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انما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ي</w:t>
      </w:r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ثب</w:t>
      </w:r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ت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لان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يتحقق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متعلقه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في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الخارج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(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في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الواجبات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او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ينعدم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ولايتحقق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في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المحرمات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)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فلوکان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متعلقاً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بالوجودالخارجي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بما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انه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متحقق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في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الخارج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يلزم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تحصيل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الحاصل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اوطلب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اجتماع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النقيضين</w:t>
      </w:r>
      <w:proofErr w:type="spellEnd"/>
      <w:r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فلابد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وان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يثبت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الحکم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في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العنوان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ولايسري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الی </w:t>
      </w:r>
      <w:proofErr w:type="spellStart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>المعنون</w:t>
      </w:r>
      <w:proofErr w:type="spellEnd"/>
      <w:r w:rsidR="00AF3F9C" w:rsidRPr="00D71F68">
        <w:rPr>
          <w:rFonts w:cs="Taher" w:hint="cs"/>
          <w:color w:val="000000" w:themeColor="text1"/>
          <w:sz w:val="32"/>
          <w:szCs w:val="32"/>
          <w:rtl/>
          <w:lang w:bidi="fa-IR"/>
        </w:rPr>
        <w:t xml:space="preserve"> .</w:t>
      </w:r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کما ان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القائل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بالامتناع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بتعلق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الحکم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بالمعنون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لابالعنوان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يستدل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علی ذلک بان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الحکم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يتبع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الملاک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والذی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يتعلق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به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الحکم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فی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الوقائع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هو ما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يوجد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فيه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الملاک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الموجب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لجعل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الحکم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و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حيث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ان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الحامل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للملاک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هو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المعنون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لا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العنوان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فيکون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lastRenderedPageBreak/>
        <w:t>هوالمتعلق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للحکم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وانما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يکون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العنوان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عبرة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ومرآة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لتعلق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الحکم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بالمعنون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ولکن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الوجود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الخارجي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الذي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تعلق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به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الحکم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ليس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هوالوجود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بمعناه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اسم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المصدري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حتی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ستلزم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محذور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تحص</w:t>
      </w:r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الحاصل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بل هو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الوجود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بالمعنی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المصدری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ومعنی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تعلق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الطلب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بالوجود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کما افاده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</w:t>
      </w:r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حقق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الخ</w:t>
      </w:r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راساني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ق</w:t>
      </w:r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ده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في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694759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مبحث </w:t>
      </w:r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تعلق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الاحکام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بالطبائع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اوالافراد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ان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الطلب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تعلق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با</w:t>
      </w:r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ج</w:t>
      </w:r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اد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الطبيعة</w:t>
      </w:r>
      <w:proofErr w:type="spellEnd"/>
      <w:r w:rsidR="00694759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694759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بمعنی</w:t>
      </w:r>
      <w:proofErr w:type="spellEnd"/>
      <w:r w:rsidR="00694759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ان </w:t>
      </w:r>
      <w:proofErr w:type="spellStart"/>
      <w:r w:rsidR="00694759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الطالب</w:t>
      </w:r>
      <w:proofErr w:type="spellEnd"/>
      <w:r w:rsidR="00694759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694759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يريدصدور</w:t>
      </w:r>
      <w:proofErr w:type="spellEnd"/>
      <w:r w:rsidR="00694759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694759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الوجود</w:t>
      </w:r>
      <w:proofErr w:type="spellEnd"/>
      <w:r w:rsidR="00694759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من </w:t>
      </w:r>
      <w:proofErr w:type="spellStart"/>
      <w:r w:rsidR="00694759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العبد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لا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بمعنی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انه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694759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يريد</w:t>
      </w:r>
      <w:proofErr w:type="spellEnd"/>
      <w:r w:rsidR="00694759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ما </w:t>
      </w:r>
      <w:proofErr w:type="spellStart"/>
      <w:r w:rsidR="00694759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هوصادر</w:t>
      </w:r>
      <w:proofErr w:type="spellEnd"/>
      <w:r w:rsidR="00694759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694759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وثابت</w:t>
      </w:r>
      <w:proofErr w:type="spellEnd"/>
      <w:r w:rsidR="00694759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694759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في</w:t>
      </w:r>
      <w:proofErr w:type="spellEnd"/>
      <w:r w:rsidR="00694759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694759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الخارج</w:t>
      </w:r>
      <w:proofErr w:type="spellEnd"/>
      <w:r w:rsidR="00694759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، </w:t>
      </w:r>
      <w:r w:rsidR="00694759">
        <w:rPr>
          <w:rFonts w:ascii="Aldhabi" w:hAnsi="Aldhabi" w:cs="Aldhabi" w:hint="cs"/>
          <w:color w:val="000000"/>
          <w:sz w:val="30"/>
          <w:szCs w:val="30"/>
          <w:rtl/>
        </w:rPr>
        <w:t>.</w:t>
      </w:r>
      <w:r w:rsidR="00694759">
        <w:rPr>
          <w:rStyle w:val="a6"/>
          <w:rFonts w:ascii="Aldhabi" w:eastAsiaTheme="minorEastAsia" w:hAnsi="Aldhabi" w:cs="Aldhabi"/>
          <w:color w:val="000000"/>
          <w:sz w:val="30"/>
          <w:szCs w:val="30"/>
          <w:rtl/>
        </w:rPr>
        <w:footnoteReference w:id="2"/>
      </w:r>
      <w:proofErr w:type="spellStart"/>
      <w:r w:rsidR="004E6E1E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وعليه</w:t>
      </w:r>
      <w:proofErr w:type="spellEnd"/>
      <w:r w:rsidR="004E6E1E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4E6E1E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فاشکال</w:t>
      </w:r>
      <w:proofErr w:type="spellEnd"/>
      <w:r w:rsidR="004E6E1E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4E6E1E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السيد</w:t>
      </w:r>
      <w:proofErr w:type="spellEnd"/>
      <w:r w:rsidR="004E6E1E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الامام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ره علی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</w:t>
      </w:r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اتن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ره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انما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رد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بناء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علی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مبناه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فی تعلق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الاحکام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بالعناو</w:t>
      </w:r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ن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</w:t>
      </w:r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اما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بناء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علی </w:t>
      </w:r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ما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هوالصحيح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من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تعلقها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بالمعنون</w:t>
      </w:r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ات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</w:t>
      </w:r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الوجوب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المتعلق</w:t>
      </w:r>
      <w:proofErr w:type="spellEnd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7543B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</w:t>
      </w:r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عنوان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الوفاء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بالنذر</w:t>
      </w:r>
      <w:proofErr w:type="spellEnd"/>
      <w:r w:rsidR="00D71F68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D71F68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اوشبهه</w:t>
      </w:r>
      <w:proofErr w:type="spellEnd"/>
      <w:r w:rsidR="00D71F68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D71F68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يسري</w:t>
      </w:r>
      <w:proofErr w:type="spellEnd"/>
      <w:r w:rsidR="00D71F68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الی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المنذور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D71F68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او </w:t>
      </w:r>
      <w:proofErr w:type="spellStart"/>
      <w:r w:rsidR="00D71F68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موردالاجارة</w:t>
      </w:r>
      <w:proofErr w:type="spellEnd"/>
      <w:r w:rsidR="00D71F68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وه</w:t>
      </w:r>
      <w:r w:rsidR="00D71F68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الصلاة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فتص</w:t>
      </w:r>
      <w:r w:rsidR="00D71F68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ر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المنذور</w:t>
      </w:r>
      <w:proofErr w:type="spellEnd"/>
      <w:r w:rsidR="00D71F68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D71F68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اومورد</w:t>
      </w:r>
      <w:proofErr w:type="spellEnd"/>
      <w:r w:rsidR="00D71F68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D71F68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الاجارة</w:t>
      </w:r>
      <w:proofErr w:type="spellEnd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واجبا</w:t>
      </w:r>
      <w:r w:rsidR="00D71F68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ً</w:t>
      </w:r>
      <w:proofErr w:type="spellEnd"/>
      <w:r w:rsidR="00D71F68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.</w:t>
      </w:r>
      <w:r w:rsidR="00AF3F9C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</w:p>
    <w:p w:rsidR="00042C05" w:rsidRPr="00D71F68" w:rsidRDefault="00D71F68" w:rsidP="006C0EA0">
      <w:pPr>
        <w:pStyle w:val="a3"/>
        <w:bidi/>
        <w:jc w:val="highKashida"/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</w:pPr>
      <w:bookmarkStart w:id="1" w:name="درس241"/>
      <w:bookmarkEnd w:id="1"/>
      <w:r w:rsidRPr="00D71F68">
        <w:rPr>
          <w:rFonts w:ascii="NoorLotus" w:hAnsi="NoorLotus" w:cs="Taher" w:hint="cs"/>
          <w:b/>
          <w:bCs/>
          <w:color w:val="000000" w:themeColor="text1"/>
          <w:sz w:val="32"/>
          <w:szCs w:val="32"/>
          <w:u w:val="single"/>
          <w:rtl/>
          <w:lang w:bidi="fa-IR"/>
        </w:rPr>
        <w:t>(</w:t>
      </w:r>
      <w:proofErr w:type="spellStart"/>
      <w:r w:rsidR="00042C05" w:rsidRPr="00D71F68">
        <w:rPr>
          <w:rFonts w:ascii="NoorLotus" w:hAnsi="NoorLotus" w:cs="Taher" w:hint="cs"/>
          <w:b/>
          <w:bCs/>
          <w:color w:val="000000" w:themeColor="text1"/>
          <w:sz w:val="32"/>
          <w:szCs w:val="32"/>
          <w:u w:val="single"/>
          <w:rtl/>
          <w:lang w:bidi="fa-IR"/>
        </w:rPr>
        <w:t>ال</w:t>
      </w:r>
      <w:r w:rsidRPr="00D71F68">
        <w:rPr>
          <w:rFonts w:ascii="NoorLotus" w:hAnsi="NoorLotus" w:cs="Taher" w:hint="cs"/>
          <w:b/>
          <w:bCs/>
          <w:color w:val="000000" w:themeColor="text1"/>
          <w:sz w:val="32"/>
          <w:szCs w:val="32"/>
          <w:u w:val="single"/>
          <w:rtl/>
          <w:lang w:bidi="fa-IR"/>
        </w:rPr>
        <w:t>مورد</w:t>
      </w:r>
      <w:proofErr w:type="spellEnd"/>
      <w:r w:rsidR="00042C05" w:rsidRPr="00D71F68">
        <w:rPr>
          <w:rFonts w:ascii="NoorLotus" w:hAnsi="NoorLotus" w:cs="Taher" w:hint="cs"/>
          <w:b/>
          <w:bCs/>
          <w:color w:val="000000" w:themeColor="text1"/>
          <w:sz w:val="32"/>
          <w:szCs w:val="32"/>
          <w:u w:val="single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b/>
          <w:bCs/>
          <w:color w:val="000000" w:themeColor="text1"/>
          <w:sz w:val="32"/>
          <w:szCs w:val="32"/>
          <w:u w:val="single"/>
          <w:rtl/>
          <w:lang w:bidi="fa-IR"/>
        </w:rPr>
        <w:t>الرابع</w:t>
      </w:r>
      <w:proofErr w:type="spellEnd"/>
      <w:r w:rsidRPr="00D71F68">
        <w:rPr>
          <w:rFonts w:ascii="NoorLotus" w:hAnsi="NoorLotus" w:cs="Taher" w:hint="cs"/>
          <w:b/>
          <w:bCs/>
          <w:color w:val="000000" w:themeColor="text1"/>
          <w:sz w:val="32"/>
          <w:szCs w:val="32"/>
          <w:u w:val="single"/>
          <w:rtl/>
          <w:lang w:bidi="fa-IR"/>
        </w:rPr>
        <w:t>):</w:t>
      </w:r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من </w:t>
      </w:r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موارد </w:t>
      </w:r>
      <w:proofErr w:type="spellStart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التأمل</w:t>
      </w:r>
      <w:proofErr w:type="spellEnd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في</w:t>
      </w:r>
      <w:proofErr w:type="spellEnd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کلام </w:t>
      </w:r>
      <w:proofErr w:type="spellStart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السيدالماتن</w:t>
      </w:r>
      <w:proofErr w:type="spellEnd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ره </w:t>
      </w:r>
      <w:proofErr w:type="spellStart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انه</w:t>
      </w:r>
      <w:proofErr w:type="spellEnd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عدّ</w:t>
      </w:r>
      <w:proofErr w:type="spellEnd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من </w:t>
      </w:r>
      <w:proofErr w:type="spellStart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الصلوات</w:t>
      </w:r>
      <w:proofErr w:type="spellEnd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الواجبة</w:t>
      </w:r>
      <w:proofErr w:type="spellEnd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صلاة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الوالد</w:t>
      </w:r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ن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علی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الولد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الاکبر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فهو</w:t>
      </w:r>
      <w:proofErr w:type="spellEnd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قده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عمّم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 فی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المقض</w:t>
      </w:r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عنه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بشموله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للامّ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</w:t>
      </w:r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ضا</w:t>
      </w:r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ً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و جعل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القاض</w:t>
      </w:r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proofErr w:type="spellEnd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خصوص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الولد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الاکبر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ت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</w:t>
      </w:r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ضيح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ذلک ان اصل وجوب قضاء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الصلوات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علی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ولي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الميت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وان کان محل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الوفاق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بين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الاصحاب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الا ان 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هناک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خلاف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</w:t>
      </w:r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ن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الفقهاء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فی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المقض</w:t>
      </w:r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والمقضي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عنه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و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القاض</w:t>
      </w:r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اما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في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ناحية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المقضیّ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ف</w:t>
      </w:r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قد وقع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البحث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في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انه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هل هو کل ما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فات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عن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الوالد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سواء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کان 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بعذر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او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بغ</w:t>
      </w:r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ر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عذر او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انه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لایجب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الا ما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فات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عنه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بعذرمن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مرض او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غ</w:t>
      </w:r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ره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ولا</w:t>
      </w:r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قضی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ماترکها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او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</w:t>
      </w:r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طله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الوالد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متعمدا</w:t>
      </w:r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ً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فان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نوع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الاعلام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قال</w:t>
      </w:r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وا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بالاحت</w:t>
      </w:r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اط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في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التعميم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</w:t>
      </w:r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حيث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ان 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المصنف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ره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لم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ذکر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ش</w:t>
      </w:r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ئا</w:t>
      </w:r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ً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فی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ناح</w:t>
      </w:r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ة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المقض</w:t>
      </w:r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فيوکل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البحث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فيه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الی محله ،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لکن</w:t>
      </w:r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ه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ابدی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رأيه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في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ناحية</w:t>
      </w:r>
      <w:proofErr w:type="spellEnd"/>
      <w:r w:rsidR="00E26A3F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المقض</w:t>
      </w:r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عنه</w:t>
      </w:r>
      <w:proofErr w:type="spellEnd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والقاضي</w:t>
      </w:r>
      <w:proofErr w:type="spellEnd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،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اما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المقض</w:t>
      </w:r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عنه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</w:t>
      </w:r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ذکر</w:t>
      </w:r>
      <w:proofErr w:type="spellEnd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انه</w:t>
      </w:r>
      <w:proofErr w:type="spellEnd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الوالد</w:t>
      </w:r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ن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لاخصوص</w:t>
      </w:r>
      <w:proofErr w:type="spellEnd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الاب</w:t>
      </w:r>
      <w:proofErr w:type="spellEnd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، </w:t>
      </w:r>
      <w:proofErr w:type="spellStart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</w:t>
      </w:r>
      <w:r w:rsidR="006C0EA0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اما</w:t>
      </w:r>
      <w:proofErr w:type="spellEnd"/>
      <w:r w:rsidR="006C0EA0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6C0EA0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القاض</w:t>
      </w:r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proofErr w:type="spellEnd"/>
      <w:r w:rsidR="006C0EA0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6C0EA0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فقال</w:t>
      </w:r>
      <w:proofErr w:type="spellEnd"/>
      <w:r w:rsidR="006C0EA0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هو </w:t>
      </w:r>
      <w:proofErr w:type="spellStart"/>
      <w:r w:rsidR="006C0EA0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الولد</w:t>
      </w:r>
      <w:proofErr w:type="spellEnd"/>
      <w:r w:rsidR="006C0EA0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6C0EA0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الاکبر</w:t>
      </w:r>
      <w:proofErr w:type="spellEnd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فقط</w:t>
      </w:r>
      <w:r w:rsidR="006C0EA0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هل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ما </w:t>
      </w:r>
      <w:proofErr w:type="spellStart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اختاره</w:t>
      </w:r>
      <w:proofErr w:type="spellEnd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المصنف</w:t>
      </w:r>
      <w:proofErr w:type="spellEnd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ره </w:t>
      </w:r>
      <w:proofErr w:type="spellStart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في</w:t>
      </w:r>
      <w:proofErr w:type="spellEnd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الناحيتين</w:t>
      </w:r>
      <w:proofErr w:type="spellEnd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تام او ان وجوب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القضاء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ختص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بقضاء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صلوات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الاب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دون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الامّ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و هل </w:t>
      </w:r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وجوب </w:t>
      </w:r>
      <w:proofErr w:type="spellStart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القضاء</w:t>
      </w:r>
      <w:proofErr w:type="spellEnd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يختص</w:t>
      </w:r>
      <w:proofErr w:type="spellEnd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الولد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الاکبر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او </w:t>
      </w:r>
      <w:proofErr w:type="spellStart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عم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الذکور</w:t>
      </w:r>
      <w:proofErr w:type="spellEnd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من </w:t>
      </w:r>
      <w:proofErr w:type="spellStart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ورثته</w:t>
      </w:r>
      <w:proofErr w:type="spellEnd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وان </w:t>
      </w:r>
      <w:proofErr w:type="spellStart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المراد</w:t>
      </w:r>
      <w:proofErr w:type="spellEnd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من </w:t>
      </w:r>
      <w:proofErr w:type="spellStart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الولي</w:t>
      </w:r>
      <w:proofErr w:type="spellEnd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اولی </w:t>
      </w:r>
      <w:proofErr w:type="spellStart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الناس</w:t>
      </w:r>
      <w:proofErr w:type="spellEnd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بالميراث</w:t>
      </w:r>
      <w:proofErr w:type="spellEnd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من </w:t>
      </w:r>
      <w:proofErr w:type="spellStart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الذکور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؟</w:t>
      </w:r>
    </w:p>
    <w:p w:rsidR="00042C05" w:rsidRPr="00D71F68" w:rsidRDefault="006C0EA0" w:rsidP="006C0EA0">
      <w:pPr>
        <w:pStyle w:val="a3"/>
        <w:bidi/>
        <w:jc w:val="highKashida"/>
        <w:rPr>
          <w:rFonts w:ascii="NoorLotus" w:hAnsi="NoorLotus" w:cs="Taher"/>
          <w:color w:val="000000" w:themeColor="text1"/>
          <w:sz w:val="32"/>
          <w:szCs w:val="32"/>
          <w:rtl/>
          <w:lang w:bidi="fa-IR"/>
        </w:rPr>
      </w:pPr>
      <w:r w:rsidRPr="006C0EA0">
        <w:rPr>
          <w:rFonts w:ascii="NoorLotus" w:hAnsi="NoorLotus" w:cs="Taher" w:hint="cs"/>
          <w:b/>
          <w:bCs/>
          <w:color w:val="000000" w:themeColor="text1"/>
          <w:sz w:val="32"/>
          <w:szCs w:val="32"/>
          <w:u w:val="single"/>
          <w:rtl/>
          <w:lang w:bidi="fa-IR"/>
        </w:rPr>
        <w:lastRenderedPageBreak/>
        <w:t xml:space="preserve">اما </w:t>
      </w:r>
      <w:proofErr w:type="spellStart"/>
      <w:r w:rsidRPr="006C0EA0">
        <w:rPr>
          <w:rFonts w:ascii="NoorLotus" w:hAnsi="NoorLotus" w:cs="Taher" w:hint="cs"/>
          <w:b/>
          <w:bCs/>
          <w:color w:val="000000" w:themeColor="text1"/>
          <w:sz w:val="32"/>
          <w:szCs w:val="32"/>
          <w:u w:val="single"/>
          <w:rtl/>
          <w:lang w:bidi="fa-IR"/>
        </w:rPr>
        <w:t>في</w:t>
      </w:r>
      <w:proofErr w:type="spellEnd"/>
      <w:r w:rsidRPr="006C0EA0">
        <w:rPr>
          <w:rFonts w:ascii="NoorLotus" w:hAnsi="NoorLotus" w:cs="Taher" w:hint="cs"/>
          <w:b/>
          <w:bCs/>
          <w:color w:val="000000" w:themeColor="text1"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C0EA0">
        <w:rPr>
          <w:rFonts w:ascii="NoorLotus" w:hAnsi="NoorLotus" w:cs="Taher" w:hint="cs"/>
          <w:b/>
          <w:bCs/>
          <w:color w:val="000000" w:themeColor="text1"/>
          <w:sz w:val="32"/>
          <w:szCs w:val="32"/>
          <w:u w:val="single"/>
          <w:rtl/>
          <w:lang w:bidi="fa-IR"/>
        </w:rPr>
        <w:t>ناحية</w:t>
      </w:r>
      <w:proofErr w:type="spellEnd"/>
      <w:r w:rsidRPr="006C0EA0">
        <w:rPr>
          <w:rFonts w:ascii="NoorLotus" w:hAnsi="NoorLotus" w:cs="Taher" w:hint="cs"/>
          <w:b/>
          <w:bCs/>
          <w:color w:val="000000" w:themeColor="text1"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C0EA0">
        <w:rPr>
          <w:rFonts w:ascii="NoorLotus" w:hAnsi="NoorLotus" w:cs="Taher" w:hint="cs"/>
          <w:b/>
          <w:bCs/>
          <w:color w:val="000000" w:themeColor="text1"/>
          <w:sz w:val="32"/>
          <w:szCs w:val="32"/>
          <w:u w:val="single"/>
          <w:rtl/>
          <w:lang w:bidi="fa-IR"/>
        </w:rPr>
        <w:t>المقضي</w:t>
      </w:r>
      <w:proofErr w:type="spellEnd"/>
      <w:r w:rsidRPr="006C0EA0">
        <w:rPr>
          <w:rFonts w:ascii="NoorLotus" w:hAnsi="NoorLotus" w:cs="Taher" w:hint="cs"/>
          <w:b/>
          <w:bCs/>
          <w:color w:val="000000" w:themeColor="text1"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C0EA0">
        <w:rPr>
          <w:rFonts w:ascii="NoorLotus" w:hAnsi="NoorLotus" w:cs="Taher" w:hint="cs"/>
          <w:b/>
          <w:bCs/>
          <w:color w:val="000000" w:themeColor="text1"/>
          <w:sz w:val="32"/>
          <w:szCs w:val="32"/>
          <w:u w:val="single"/>
          <w:rtl/>
          <w:lang w:bidi="fa-IR"/>
        </w:rPr>
        <w:t>عنه</w:t>
      </w:r>
      <w:proofErr w:type="spellEnd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المعروف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هو قضاء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صلاة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الاب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لا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الامّ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لکن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بعضهم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ومنهم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المصنف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قال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بالتعم</w:t>
      </w:r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م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.</w:t>
      </w:r>
    </w:p>
    <w:p w:rsidR="00042C05" w:rsidRPr="00D71F68" w:rsidRDefault="00042C05" w:rsidP="006C0EA0">
      <w:pPr>
        <w:jc w:val="highKashida"/>
        <w:rPr>
          <w:rFonts w:ascii="NoorLotus" w:eastAsia="Times New Roman" w:hAnsi="NoorLotus" w:cs="Taher"/>
          <w:color w:val="000000" w:themeColor="text1"/>
          <w:sz w:val="32"/>
          <w:szCs w:val="32"/>
        </w:rPr>
      </w:pP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>أورد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علی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>القول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>بالتعم</w:t>
      </w:r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>م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بان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>العنوان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>الوارد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فی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>ادلة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وجوب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>القضاء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هو عنوان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>الرجل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</w:rPr>
        <w:t>ففي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>صح</w:t>
      </w:r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>حة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>حفص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بن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>البختری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عَنْ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أَبِي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عَبْدِ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اللَّهِ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r w:rsidR="006C0EA0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×</w:t>
      </w:r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فِي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الرَّجُلِ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يَمُوتُ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وَ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عَلَيْهِ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صَلَاةٌ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أَوْ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صِيَامٌ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-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قَالَ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يَقْضِي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عَنْهُ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أَوْلَى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النَّاسِ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بِمِيرَاثِهِ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-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قُلْتُ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فَإِنْ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كَانَ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أَوْلَى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النَّاسِ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بِهِ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امْرَأَةً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فَقَالَ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لَا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إِلَّا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الرِّجَالُ</w:t>
      </w:r>
      <w:proofErr w:type="spellEnd"/>
      <w:r w:rsidRPr="00D71F68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.</w:t>
      </w:r>
      <w:r w:rsidR="006C0EA0">
        <w:rPr>
          <w:rStyle w:val="a6"/>
          <w:rFonts w:ascii="NoorLotus" w:eastAsia="Times New Roman" w:hAnsi="NoorLotus" w:cs="Taher"/>
          <w:color w:val="000000" w:themeColor="text1"/>
          <w:sz w:val="32"/>
          <w:szCs w:val="32"/>
        </w:rPr>
        <w:footnoteReference w:id="3"/>
      </w:r>
    </w:p>
    <w:p w:rsidR="00042C05" w:rsidRPr="00D71F68" w:rsidRDefault="00042C05" w:rsidP="006C0EA0">
      <w:pPr>
        <w:pStyle w:val="a3"/>
        <w:bidi/>
        <w:jc w:val="highKashida"/>
        <w:rPr>
          <w:rFonts w:ascii="NoorLotus" w:hAnsi="NoorLotus" w:cs="Taher"/>
          <w:color w:val="000000" w:themeColor="text1"/>
          <w:sz w:val="32"/>
          <w:szCs w:val="32"/>
          <w:rtl/>
          <w:lang w:bidi="fa-IR"/>
        </w:rPr>
      </w:pP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فلادل</w:t>
      </w:r>
      <w:r w:rsidR="006C0EA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علی وجوب قضاء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صلاة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الامّ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علی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الولد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الاکبر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.</w:t>
      </w:r>
    </w:p>
    <w:p w:rsidR="00042C05" w:rsidRPr="00D71F68" w:rsidRDefault="00042C05" w:rsidP="00B258E0">
      <w:pPr>
        <w:pStyle w:val="a3"/>
        <w:bidi/>
        <w:jc w:val="highKashida"/>
        <w:rPr>
          <w:rFonts w:ascii="NoorLotus" w:hAnsi="NoorLotus" w:cs="Taher"/>
          <w:color w:val="000000" w:themeColor="text1"/>
          <w:sz w:val="32"/>
          <w:szCs w:val="32"/>
          <w:rtl/>
          <w:lang w:bidi="fa-IR"/>
        </w:rPr>
      </w:pP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نعم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بعض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روا</w:t>
      </w:r>
      <w:r w:rsidR="00B258E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ات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وجوب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القضاء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عن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</w:t>
      </w:r>
      <w:r w:rsidR="00B258E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ت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مطلق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B258E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شمل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المرأة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کالروا</w:t>
      </w:r>
      <w:r w:rsidR="00B258E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ة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المحک</w:t>
      </w:r>
      <w:r w:rsidR="00B258E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ة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فی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</w:t>
      </w:r>
      <w:r w:rsidR="00B258E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وسائل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عن کتاب </w:t>
      </w:r>
      <w:proofErr w:type="spellStart"/>
      <w:r w:rsidR="00B258E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غياث</w:t>
      </w:r>
      <w:proofErr w:type="spellEnd"/>
      <w:r w:rsidR="00B258E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سلطان </w:t>
      </w:r>
      <w:proofErr w:type="spellStart"/>
      <w:r w:rsidR="00B258E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الوری</w:t>
      </w:r>
      <w:proofErr w:type="spellEnd"/>
      <w:r w:rsidR="00B258E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B258E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لس</w:t>
      </w:r>
      <w:r w:rsidR="00B258E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د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الاجلّ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ابن طاووس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هکذا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B258E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عن عبدالله بن سنان عن </w:t>
      </w:r>
      <w:proofErr w:type="spellStart"/>
      <w:r w:rsidR="00B258E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الصادق</w:t>
      </w:r>
      <w:proofErr w:type="spellEnd"/>
      <w:r w:rsidR="00B258E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عل</w:t>
      </w:r>
      <w:r w:rsidR="00B258E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ه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السلام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B258E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قال :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الصلاة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التی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دخل وقتها قبل ان </w:t>
      </w:r>
      <w:proofErr w:type="spellStart"/>
      <w:r w:rsidR="00B258E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موت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</w:t>
      </w:r>
      <w:r w:rsidR="00B258E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ت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B258E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قض</w:t>
      </w:r>
      <w:r w:rsidR="00B258E0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عنه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اولی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الناس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به </w:t>
      </w:r>
      <w:r w:rsidR="00B258E0">
        <w:rPr>
          <w:rStyle w:val="a6"/>
          <w:rFonts w:ascii="NoorLotus" w:hAnsi="NoorLotus" w:cs="Taher"/>
          <w:color w:val="000000" w:themeColor="text1"/>
          <w:sz w:val="32"/>
          <w:szCs w:val="32"/>
          <w:rtl/>
          <w:lang w:bidi="fa-IR"/>
        </w:rPr>
        <w:footnoteReference w:id="4"/>
      </w:r>
    </w:p>
    <w:p w:rsidR="00042C05" w:rsidRPr="00D71F68" w:rsidRDefault="00B640E7" w:rsidP="00B640E7">
      <w:pPr>
        <w:pStyle w:val="a3"/>
        <w:bidi/>
        <w:jc w:val="highKashida"/>
        <w:rPr>
          <w:rFonts w:ascii="NoorLotus" w:hAnsi="NoorLotus" w:cs="Taher"/>
          <w:color w:val="000000" w:themeColor="text1"/>
          <w:sz w:val="32"/>
          <w:szCs w:val="32"/>
          <w:rtl/>
          <w:lang w:bidi="fa-IR"/>
        </w:rPr>
      </w:pPr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لکن 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الروا</w:t>
      </w:r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ة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مرسلة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لايمکن</w:t>
      </w:r>
      <w:proofErr w:type="spellEnd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الاستناد</w:t>
      </w:r>
      <w:proofErr w:type="spellEnd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اليها</w:t>
      </w:r>
      <w:proofErr w:type="spellEnd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</w:t>
      </w:r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نحصر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المدرک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فی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روا</w:t>
      </w:r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ة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البختری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و </w:t>
      </w:r>
      <w:proofErr w:type="spellStart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حيث</w:t>
      </w:r>
      <w:proofErr w:type="spellEnd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حتمل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اختصاص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الحکم</w:t>
      </w:r>
      <w:proofErr w:type="spellEnd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المذکور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</w:t>
      </w:r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ها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بالرجل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لخصوص</w:t>
      </w:r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ة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کون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القضاء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عل</w:t>
      </w:r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ی </w:t>
      </w:r>
      <w:proofErr w:type="spellStart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الولد</w:t>
      </w:r>
      <w:proofErr w:type="spellEnd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الاکبر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هنا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لکونه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بدلا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عن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الحبوة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فلا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تعدی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منه الی </w:t>
      </w:r>
      <w:proofErr w:type="spellStart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المرأة</w:t>
      </w:r>
      <w:proofErr w:type="spellEnd"/>
      <w:r w:rsidR="00042C05"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.</w:t>
      </w:r>
    </w:p>
    <w:p w:rsidR="00042C05" w:rsidRPr="00D71F68" w:rsidRDefault="00042C05" w:rsidP="00B640E7">
      <w:pPr>
        <w:pStyle w:val="a3"/>
        <w:bidi/>
        <w:jc w:val="highKashida"/>
        <w:rPr>
          <w:rFonts w:ascii="NoorLotus" w:hAnsi="NoorLotus" w:cs="Taher"/>
          <w:color w:val="000000" w:themeColor="text1"/>
          <w:sz w:val="32"/>
          <w:szCs w:val="32"/>
          <w:rtl/>
          <w:lang w:bidi="fa-IR"/>
        </w:rPr>
      </w:pP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أج</w:t>
      </w:r>
      <w:r w:rsidR="00B640E7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عن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هذا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الاشکال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بان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الدل</w:t>
      </w:r>
      <w:r w:rsidR="00B640E7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الشامل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للمرأة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موجودفی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باب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الصوم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B640E7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ففي</w:t>
      </w:r>
      <w:proofErr w:type="spellEnd"/>
      <w:r w:rsidR="00B640E7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B640E7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صحيحة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أَبِي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حَمْزَةَ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عَنْ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أَبِي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جَعْفَرٍ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B640E7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×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قَالَ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: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سَأَلْتُهُ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عَنِ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امْرَأَةٍ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مَرِضَتْ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فِي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شَهْرِ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رَمَضَانَ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أَوْ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طَمِثَتْ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-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أَوْ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سَافَرَتْ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فَمَاتَتْ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قَبْلَ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خُرُوجِ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شَهْرِ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رَمَضَانَ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هَلْ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يُقْضَى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عَنْهَا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-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قَالَ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أَمَّا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الطَّمْثُ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وَ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الْمَرَضُ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فَلَا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وَ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أَمَّا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السَّفَرُ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فَنَعَمْ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.</w:t>
      </w:r>
      <w:r w:rsidR="00B640E7">
        <w:rPr>
          <w:rStyle w:val="a6"/>
          <w:rFonts w:ascii="NoorLotus" w:hAnsi="NoorLotus" w:cs="Taher"/>
          <w:color w:val="000000" w:themeColor="text1"/>
          <w:sz w:val="32"/>
          <w:szCs w:val="32"/>
          <w:rtl/>
          <w:lang w:bidi="fa-IR"/>
        </w:rPr>
        <w:footnoteReference w:id="5"/>
      </w:r>
    </w:p>
    <w:p w:rsidR="00042C05" w:rsidRPr="00D71F68" w:rsidRDefault="00042C05" w:rsidP="004E6E1E">
      <w:pPr>
        <w:pStyle w:val="a3"/>
        <w:bidi/>
        <w:jc w:val="highKashida"/>
        <w:rPr>
          <w:rFonts w:ascii="NoorLotus" w:hAnsi="NoorLotus" w:cs="Taher"/>
          <w:color w:val="000000" w:themeColor="text1"/>
          <w:sz w:val="32"/>
          <w:szCs w:val="32"/>
          <w:rtl/>
          <w:lang w:bidi="fa-IR"/>
        </w:rPr>
      </w:pP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lastRenderedPageBreak/>
        <w:t>فان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هذه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الروا</w:t>
      </w:r>
      <w:r w:rsidR="00B640E7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ة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B640E7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واردة</w:t>
      </w:r>
      <w:proofErr w:type="spellEnd"/>
      <w:r w:rsidR="00B640E7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B640E7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في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المرأة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</w:t>
      </w:r>
      <w:r w:rsidR="00B640E7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تدل</w:t>
      </w:r>
      <w:proofErr w:type="spellEnd"/>
      <w:r w:rsidR="00B640E7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علی وجوب قضاء </w:t>
      </w:r>
      <w:proofErr w:type="spellStart"/>
      <w:r w:rsidR="00B640E7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الصوم</w:t>
      </w:r>
      <w:proofErr w:type="spellEnd"/>
      <w:r w:rsidR="00B640E7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B640E7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عنها</w:t>
      </w:r>
      <w:proofErr w:type="spellEnd"/>
      <w:r w:rsidR="00B640E7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4E6E1E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و </w:t>
      </w:r>
      <w:proofErr w:type="spellStart"/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الرواية</w:t>
      </w:r>
      <w:proofErr w:type="spellEnd"/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وا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ن لم </w:t>
      </w:r>
      <w:proofErr w:type="spellStart"/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نص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</w:t>
      </w:r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ها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علی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القاض</w:t>
      </w:r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proofErr w:type="spellEnd"/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للصوم</w:t>
      </w:r>
      <w:proofErr w:type="spellEnd"/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لکن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بالاطلاق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المقامی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ستکشف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ان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القاض</w:t>
      </w:r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فی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هذا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المقام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هو نفس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القاض</w:t>
      </w:r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عن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الأب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.</w:t>
      </w:r>
    </w:p>
    <w:p w:rsidR="00042C05" w:rsidRPr="00D71F68" w:rsidRDefault="00042C05" w:rsidP="00387E22">
      <w:pPr>
        <w:pStyle w:val="a3"/>
        <w:bidi/>
        <w:jc w:val="highKashida"/>
        <w:rPr>
          <w:rFonts w:ascii="NoorLotus" w:hAnsi="NoorLotus" w:cs="Taher"/>
          <w:color w:val="000000" w:themeColor="text1"/>
          <w:sz w:val="32"/>
          <w:szCs w:val="32"/>
          <w:rtl/>
          <w:lang w:bidi="fa-IR"/>
        </w:rPr>
      </w:pP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لکن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نوقش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</w:t>
      </w:r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proofErr w:type="spellEnd"/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الاستدلال</w:t>
      </w:r>
      <w:proofErr w:type="spellEnd"/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بها 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بان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الروا</w:t>
      </w:r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ة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بصدد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</w:t>
      </w:r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ان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مشروع</w:t>
      </w:r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ة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القضاءعن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المرأة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وعدم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المشروع</w:t>
      </w:r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ة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فان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الامام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×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فصّل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فی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الجواب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بعدم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القضاءاذا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فات</w:t>
      </w:r>
      <w:proofErr w:type="spellEnd"/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الصوم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عنها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للح</w:t>
      </w:r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ص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و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المرض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بخلافه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فی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السفر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فل</w:t>
      </w:r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ست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الروا</w:t>
      </w:r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ة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بصدد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ب</w:t>
      </w:r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ان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وجوب 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القض</w:t>
      </w:r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اء</w:t>
      </w:r>
      <w:proofErr w:type="spellEnd"/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عنها</w:t>
      </w:r>
      <w:proofErr w:type="spellEnd"/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،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اذن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لا</w:t>
      </w:r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تم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تعم</w:t>
      </w:r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م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الس</w:t>
      </w:r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د</w:t>
      </w:r>
      <w:proofErr w:type="spellEnd"/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ره</w:t>
      </w:r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فی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المقض</w:t>
      </w:r>
      <w:r w:rsidR="00387E22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ي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عنه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للاب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و </w:t>
      </w:r>
      <w:proofErr w:type="spellStart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>الأمّ</w:t>
      </w:r>
      <w:proofErr w:type="spellEnd"/>
      <w:r w:rsidRPr="00D71F68">
        <w:rPr>
          <w:rFonts w:ascii="NoorLotus" w:hAnsi="NoorLotus" w:cs="Taher" w:hint="cs"/>
          <w:color w:val="000000" w:themeColor="text1"/>
          <w:sz w:val="32"/>
          <w:szCs w:val="32"/>
          <w:rtl/>
          <w:lang w:bidi="fa-IR"/>
        </w:rPr>
        <w:t xml:space="preserve"> .</w:t>
      </w:r>
    </w:p>
    <w:p w:rsidR="00042C05" w:rsidRPr="00D71F68" w:rsidRDefault="00042C05" w:rsidP="00BB32BA">
      <w:pPr>
        <w:jc w:val="highKashida"/>
        <w:rPr>
          <w:rFonts w:cs="Taher"/>
          <w:color w:val="000000" w:themeColor="text1"/>
          <w:sz w:val="32"/>
          <w:szCs w:val="32"/>
        </w:rPr>
      </w:pPr>
    </w:p>
    <w:sectPr w:rsidR="00042C05" w:rsidRPr="00D71F68" w:rsidSect="0022213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57" w:rsidRDefault="00497357" w:rsidP="00042C05">
      <w:pPr>
        <w:spacing w:after="0" w:line="240" w:lineRule="auto"/>
      </w:pPr>
      <w:r>
        <w:separator/>
      </w:r>
    </w:p>
  </w:endnote>
  <w:endnote w:type="continuationSeparator" w:id="0">
    <w:p w:rsidR="00497357" w:rsidRDefault="00497357" w:rsidP="0004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e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oor_Lotus">
    <w:altName w:val="Segoe UI Semilight"/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Noor_Nazli">
    <w:altName w:val="Courier New"/>
    <w:panose1 w:val="01000506000000020004"/>
    <w:charset w:val="00"/>
    <w:family w:val="auto"/>
    <w:pitch w:val="variable"/>
    <w:sig w:usb0="80002007" w:usb1="80002000" w:usb2="00000008" w:usb3="00000000" w:csb0="00000043" w:csb1="00000000"/>
  </w:font>
  <w:font w:name="NoorLotu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57" w:rsidRDefault="00497357" w:rsidP="00042C05">
      <w:pPr>
        <w:spacing w:after="0" w:line="240" w:lineRule="auto"/>
      </w:pPr>
      <w:r>
        <w:separator/>
      </w:r>
    </w:p>
  </w:footnote>
  <w:footnote w:type="continuationSeparator" w:id="0">
    <w:p w:rsidR="00497357" w:rsidRDefault="00497357" w:rsidP="00042C05">
      <w:pPr>
        <w:spacing w:after="0" w:line="240" w:lineRule="auto"/>
      </w:pPr>
      <w:r>
        <w:continuationSeparator/>
      </w:r>
    </w:p>
  </w:footnote>
  <w:footnote w:id="1">
    <w:p w:rsidR="00BB32BA" w:rsidRPr="004E6E1E" w:rsidRDefault="00BB32BA" w:rsidP="00BB32BA">
      <w:pPr>
        <w:pStyle w:val="a4"/>
        <w:bidi/>
        <w:rPr>
          <w:rFonts w:cs="Taher"/>
        </w:rPr>
      </w:pPr>
      <w:r w:rsidRPr="004E6E1E">
        <w:rPr>
          <w:rStyle w:val="a6"/>
          <w:rFonts w:cs="Taher"/>
        </w:rPr>
        <w:footnoteRef/>
      </w:r>
      <w:r w:rsidRPr="004E6E1E">
        <w:rPr>
          <w:rFonts w:ascii="Arial" w:cs="Taher"/>
          <w:rtl/>
        </w:rPr>
        <w:t xml:space="preserve"> </w:t>
      </w:r>
      <w:r w:rsidRPr="004E6E1E">
        <w:rPr>
          <w:rFonts w:cs="Taher" w:hint="cs"/>
          <w:rtl/>
          <w:lang w:bidi="fa-IR"/>
        </w:rPr>
        <w:t>-</w:t>
      </w:r>
      <w:r w:rsidRPr="004E6E1E">
        <w:rPr>
          <w:rFonts w:cs="Taher"/>
          <w:rtl/>
          <w:lang w:bidi="fa-IR"/>
        </w:rPr>
        <w:t xml:space="preserve"> </w:t>
      </w:r>
      <w:proofErr w:type="spellStart"/>
      <w:r w:rsidRPr="004E6E1E">
        <w:rPr>
          <w:rFonts w:cs="Taher"/>
          <w:rtl/>
          <w:lang w:bidi="fa-IR"/>
        </w:rPr>
        <w:t>تهذيب</w:t>
      </w:r>
      <w:proofErr w:type="spellEnd"/>
      <w:r w:rsidRPr="004E6E1E">
        <w:rPr>
          <w:rFonts w:cs="Taher"/>
          <w:rtl/>
          <w:lang w:bidi="fa-IR"/>
        </w:rPr>
        <w:t xml:space="preserve"> </w:t>
      </w:r>
      <w:proofErr w:type="spellStart"/>
      <w:r w:rsidRPr="004E6E1E">
        <w:rPr>
          <w:rFonts w:cs="Taher"/>
          <w:rtl/>
          <w:lang w:bidi="fa-IR"/>
        </w:rPr>
        <w:t>الأصول</w:t>
      </w:r>
      <w:proofErr w:type="spellEnd"/>
      <w:r w:rsidRPr="004E6E1E">
        <w:rPr>
          <w:rFonts w:cs="Taher" w:hint="cs"/>
          <w:rtl/>
          <w:lang w:bidi="fa-IR"/>
        </w:rPr>
        <w:t xml:space="preserve"> ج2ص56-57</w:t>
      </w:r>
      <w:r w:rsidRPr="004E6E1E">
        <w:rPr>
          <w:rFonts w:cs="Taher"/>
          <w:rtl/>
          <w:lang w:bidi="fa-IR"/>
        </w:rPr>
        <w:t>.</w:t>
      </w:r>
    </w:p>
  </w:footnote>
  <w:footnote w:id="2">
    <w:p w:rsidR="00694759" w:rsidRPr="00694759" w:rsidRDefault="00694759" w:rsidP="00694759">
      <w:pPr>
        <w:pStyle w:val="a4"/>
        <w:bidi/>
        <w:rPr>
          <w:rFonts w:cs="Taher"/>
        </w:rPr>
      </w:pPr>
      <w:r w:rsidRPr="00694759">
        <w:rPr>
          <w:rStyle w:val="a6"/>
          <w:rFonts w:cs="Taher"/>
        </w:rPr>
        <w:footnoteRef/>
      </w:r>
      <w:r w:rsidRPr="00694759">
        <w:rPr>
          <w:rFonts w:cs="Taher"/>
          <w:rtl/>
        </w:rPr>
        <w:t xml:space="preserve"> </w:t>
      </w:r>
      <w:r w:rsidRPr="00694759">
        <w:rPr>
          <w:rFonts w:cs="Taher" w:hint="cs"/>
          <w:rtl/>
          <w:lang w:bidi="fa-IR"/>
        </w:rPr>
        <w:t>-</w:t>
      </w:r>
      <w:r w:rsidRPr="00694759">
        <w:rPr>
          <w:rFonts w:cs="Taher"/>
          <w:rtl/>
          <w:lang w:bidi="fa-IR"/>
        </w:rPr>
        <w:t xml:space="preserve"> </w:t>
      </w:r>
      <w:proofErr w:type="spellStart"/>
      <w:r w:rsidRPr="00694759">
        <w:rPr>
          <w:rFonts w:cs="Taher"/>
          <w:rtl/>
          <w:lang w:bidi="fa-IR"/>
        </w:rPr>
        <w:t>كفاية</w:t>
      </w:r>
      <w:proofErr w:type="spellEnd"/>
      <w:r w:rsidRPr="00694759">
        <w:rPr>
          <w:rFonts w:cs="Taher"/>
          <w:rtl/>
          <w:lang w:bidi="fa-IR"/>
        </w:rPr>
        <w:t xml:space="preserve"> </w:t>
      </w:r>
      <w:proofErr w:type="spellStart"/>
      <w:r w:rsidRPr="00694759">
        <w:rPr>
          <w:rFonts w:cs="Taher"/>
          <w:rtl/>
          <w:lang w:bidi="fa-IR"/>
        </w:rPr>
        <w:t>الأصول</w:t>
      </w:r>
      <w:proofErr w:type="spellEnd"/>
      <w:r w:rsidRPr="00694759">
        <w:rPr>
          <w:rFonts w:cs="Taher"/>
          <w:rtl/>
          <w:lang w:bidi="fa-IR"/>
        </w:rPr>
        <w:t xml:space="preserve"> ( طبع آل </w:t>
      </w:r>
      <w:proofErr w:type="spellStart"/>
      <w:r w:rsidRPr="00694759">
        <w:rPr>
          <w:rFonts w:cs="Taher"/>
          <w:rtl/>
          <w:lang w:bidi="fa-IR"/>
        </w:rPr>
        <w:t>البيت</w:t>
      </w:r>
      <w:proofErr w:type="spellEnd"/>
      <w:r w:rsidRPr="00694759">
        <w:rPr>
          <w:rFonts w:cs="Taher"/>
          <w:rtl/>
          <w:lang w:bidi="fa-IR"/>
        </w:rPr>
        <w:t xml:space="preserve"> )</w:t>
      </w:r>
      <w:r w:rsidRPr="00694759">
        <w:rPr>
          <w:rFonts w:cs="Taher" w:hint="cs"/>
          <w:rtl/>
          <w:lang w:bidi="fa-IR"/>
        </w:rPr>
        <w:t xml:space="preserve"> ص139</w:t>
      </w:r>
      <w:r w:rsidRPr="00694759">
        <w:rPr>
          <w:rFonts w:cs="Taher"/>
          <w:rtl/>
          <w:lang w:bidi="fa-IR"/>
        </w:rPr>
        <w:t>.</w:t>
      </w:r>
    </w:p>
  </w:footnote>
  <w:footnote w:id="3">
    <w:p w:rsidR="006C0EA0" w:rsidRPr="004E6E1E" w:rsidRDefault="006C0EA0" w:rsidP="00BC5510">
      <w:pPr>
        <w:pStyle w:val="a4"/>
        <w:rPr>
          <w:rFonts w:cs="Taher"/>
          <w:lang w:bidi="fa-IR"/>
        </w:rPr>
      </w:pPr>
      <w:r w:rsidRPr="004E6E1E">
        <w:rPr>
          <w:rStyle w:val="a6"/>
          <w:rFonts w:cs="Taher"/>
        </w:rPr>
        <w:footnoteRef/>
      </w:r>
      <w:r w:rsidRPr="004E6E1E">
        <w:rPr>
          <w:rFonts w:cs="Taher"/>
        </w:rPr>
        <w:t xml:space="preserve"> </w:t>
      </w:r>
      <w:r w:rsidRPr="004E6E1E">
        <w:rPr>
          <w:rFonts w:cs="Taher" w:hint="cs"/>
          <w:rtl/>
          <w:lang w:bidi="fa-IR"/>
        </w:rPr>
        <w:t>-</w:t>
      </w:r>
      <w:proofErr w:type="spellStart"/>
      <w:r w:rsidRPr="004E6E1E">
        <w:rPr>
          <w:rFonts w:cs="Taher" w:hint="cs"/>
          <w:rtl/>
          <w:lang w:bidi="fa-IR"/>
        </w:rPr>
        <w:t>الوسائل</w:t>
      </w:r>
      <w:proofErr w:type="spellEnd"/>
      <w:r w:rsidRPr="004E6E1E">
        <w:rPr>
          <w:rFonts w:cs="Taher" w:hint="cs"/>
          <w:rtl/>
          <w:lang w:bidi="fa-IR"/>
        </w:rPr>
        <w:t xml:space="preserve"> الباب23 من ابواب احکام </w:t>
      </w:r>
      <w:proofErr w:type="spellStart"/>
      <w:r w:rsidRPr="004E6E1E">
        <w:rPr>
          <w:rFonts w:cs="Taher" w:hint="cs"/>
          <w:rtl/>
          <w:lang w:bidi="fa-IR"/>
        </w:rPr>
        <w:t>شهررمضان</w:t>
      </w:r>
      <w:proofErr w:type="spellEnd"/>
      <w:r w:rsidRPr="004E6E1E">
        <w:rPr>
          <w:rFonts w:cs="Taher" w:hint="cs"/>
          <w:rtl/>
          <w:lang w:bidi="fa-IR"/>
        </w:rPr>
        <w:t xml:space="preserve"> ح</w:t>
      </w:r>
      <w:r w:rsidR="00BC5510" w:rsidRPr="004E6E1E">
        <w:rPr>
          <w:rFonts w:cs="Taher" w:hint="cs"/>
          <w:rtl/>
          <w:lang w:bidi="fa-IR"/>
        </w:rPr>
        <w:t>5</w:t>
      </w:r>
      <w:r w:rsidRPr="004E6E1E">
        <w:rPr>
          <w:rFonts w:cs="Taher" w:hint="cs"/>
          <w:rtl/>
          <w:lang w:bidi="fa-IR"/>
        </w:rPr>
        <w:t xml:space="preserve">  </w:t>
      </w:r>
    </w:p>
  </w:footnote>
  <w:footnote w:id="4">
    <w:p w:rsidR="00B258E0" w:rsidRPr="004E6E1E" w:rsidRDefault="00B258E0">
      <w:pPr>
        <w:pStyle w:val="a4"/>
        <w:rPr>
          <w:rFonts w:cs="Taher"/>
          <w:lang w:bidi="fa-IR"/>
        </w:rPr>
      </w:pPr>
      <w:r w:rsidRPr="004E6E1E">
        <w:rPr>
          <w:rStyle w:val="a6"/>
          <w:rFonts w:cs="Taher"/>
        </w:rPr>
        <w:footnoteRef/>
      </w:r>
      <w:r w:rsidRPr="004E6E1E">
        <w:rPr>
          <w:rFonts w:cs="Taher"/>
        </w:rPr>
        <w:t xml:space="preserve"> </w:t>
      </w:r>
      <w:r w:rsidR="00B640E7" w:rsidRPr="004E6E1E">
        <w:rPr>
          <w:rFonts w:cs="Taher" w:hint="cs"/>
          <w:rtl/>
          <w:lang w:bidi="fa-IR"/>
        </w:rPr>
        <w:t xml:space="preserve"> </w:t>
      </w:r>
      <w:proofErr w:type="spellStart"/>
      <w:r w:rsidR="00B640E7" w:rsidRPr="004E6E1E">
        <w:rPr>
          <w:rFonts w:cs="Taher" w:hint="cs"/>
          <w:rtl/>
          <w:lang w:bidi="fa-IR"/>
        </w:rPr>
        <w:t>الوسائل</w:t>
      </w:r>
      <w:proofErr w:type="spellEnd"/>
      <w:r w:rsidR="00B640E7" w:rsidRPr="004E6E1E">
        <w:rPr>
          <w:rFonts w:cs="Taher" w:hint="cs"/>
          <w:rtl/>
          <w:lang w:bidi="fa-IR"/>
        </w:rPr>
        <w:t xml:space="preserve"> الباب12 من ابواب قضاء </w:t>
      </w:r>
      <w:proofErr w:type="spellStart"/>
      <w:r w:rsidR="00B640E7" w:rsidRPr="004E6E1E">
        <w:rPr>
          <w:rFonts w:cs="Taher" w:hint="cs"/>
          <w:rtl/>
          <w:lang w:bidi="fa-IR"/>
        </w:rPr>
        <w:t>الصلوات</w:t>
      </w:r>
      <w:proofErr w:type="spellEnd"/>
      <w:r w:rsidR="00B640E7" w:rsidRPr="004E6E1E">
        <w:rPr>
          <w:rFonts w:cs="Taher" w:hint="cs"/>
          <w:rtl/>
          <w:lang w:bidi="fa-IR"/>
        </w:rPr>
        <w:t xml:space="preserve"> ح18 </w:t>
      </w:r>
    </w:p>
  </w:footnote>
  <w:footnote w:id="5">
    <w:p w:rsidR="00B640E7" w:rsidRPr="004E6E1E" w:rsidRDefault="00B640E7">
      <w:pPr>
        <w:pStyle w:val="a4"/>
        <w:rPr>
          <w:rFonts w:cs="Taher"/>
          <w:lang w:bidi="fa-IR"/>
        </w:rPr>
      </w:pPr>
      <w:r w:rsidRPr="004E6E1E">
        <w:rPr>
          <w:rStyle w:val="a6"/>
          <w:rFonts w:cs="Taher"/>
        </w:rPr>
        <w:footnoteRef/>
      </w:r>
      <w:r w:rsidRPr="004E6E1E">
        <w:rPr>
          <w:rFonts w:cs="Taher"/>
        </w:rPr>
        <w:t xml:space="preserve"> </w:t>
      </w:r>
      <w:r w:rsidRPr="004E6E1E">
        <w:rPr>
          <w:rFonts w:cs="Taher" w:hint="cs"/>
          <w:rtl/>
          <w:lang w:bidi="fa-IR"/>
        </w:rPr>
        <w:t>-</w:t>
      </w:r>
      <w:proofErr w:type="spellStart"/>
      <w:r w:rsidRPr="004E6E1E">
        <w:rPr>
          <w:rFonts w:cs="Taher" w:hint="cs"/>
          <w:rtl/>
          <w:lang w:bidi="fa-IR"/>
        </w:rPr>
        <w:t>الوسائل</w:t>
      </w:r>
      <w:proofErr w:type="spellEnd"/>
      <w:r w:rsidRPr="004E6E1E">
        <w:rPr>
          <w:rFonts w:cs="Taher" w:hint="cs"/>
          <w:rtl/>
          <w:lang w:bidi="fa-IR"/>
        </w:rPr>
        <w:t xml:space="preserve"> </w:t>
      </w:r>
      <w:proofErr w:type="spellStart"/>
      <w:r w:rsidRPr="004E6E1E">
        <w:rPr>
          <w:rFonts w:cs="Taher" w:hint="cs"/>
          <w:rtl/>
          <w:lang w:bidi="fa-IR"/>
        </w:rPr>
        <w:t>الباب</w:t>
      </w:r>
      <w:proofErr w:type="spellEnd"/>
      <w:r w:rsidRPr="004E6E1E">
        <w:rPr>
          <w:rFonts w:cs="Taher" w:hint="cs"/>
          <w:rtl/>
          <w:lang w:bidi="fa-IR"/>
        </w:rPr>
        <w:t xml:space="preserve"> 23 من ابواب احکام </w:t>
      </w:r>
      <w:proofErr w:type="spellStart"/>
      <w:r w:rsidRPr="004E6E1E">
        <w:rPr>
          <w:rFonts w:cs="Taher" w:hint="cs"/>
          <w:rtl/>
          <w:lang w:bidi="fa-IR"/>
        </w:rPr>
        <w:t>شهررمضان</w:t>
      </w:r>
      <w:proofErr w:type="spellEnd"/>
      <w:r w:rsidRPr="004E6E1E">
        <w:rPr>
          <w:rFonts w:cs="Taher" w:hint="cs"/>
          <w:rtl/>
          <w:lang w:bidi="fa-IR"/>
        </w:rPr>
        <w:t xml:space="preserve"> ح4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771345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1F68" w:rsidRDefault="00D71F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E1E" w:rsidRPr="004E6E1E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D71F68" w:rsidRDefault="00D71F6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9C"/>
    <w:rsid w:val="00042C05"/>
    <w:rsid w:val="001E2F61"/>
    <w:rsid w:val="002116C0"/>
    <w:rsid w:val="00222135"/>
    <w:rsid w:val="002C4E9D"/>
    <w:rsid w:val="002F61A0"/>
    <w:rsid w:val="0037543B"/>
    <w:rsid w:val="00387E22"/>
    <w:rsid w:val="00497357"/>
    <w:rsid w:val="004E6E1E"/>
    <w:rsid w:val="00694759"/>
    <w:rsid w:val="006C0EA0"/>
    <w:rsid w:val="00AF3F9C"/>
    <w:rsid w:val="00AF7E9C"/>
    <w:rsid w:val="00B258E0"/>
    <w:rsid w:val="00B640E7"/>
    <w:rsid w:val="00BB32BA"/>
    <w:rsid w:val="00BC5510"/>
    <w:rsid w:val="00D71F68"/>
    <w:rsid w:val="00E26A3F"/>
    <w:rsid w:val="00EB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C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4">
    <w:name w:val="footnote text"/>
    <w:basedOn w:val="a"/>
    <w:link w:val="a5"/>
    <w:uiPriority w:val="99"/>
    <w:semiHidden/>
    <w:unhideWhenUsed/>
    <w:rsid w:val="00042C05"/>
    <w:pPr>
      <w:bidi w:val="0"/>
      <w:spacing w:after="0" w:line="240" w:lineRule="auto"/>
    </w:pPr>
    <w:rPr>
      <w:rFonts w:eastAsiaTheme="minorEastAsia"/>
      <w:sz w:val="20"/>
      <w:szCs w:val="20"/>
      <w:lang w:bidi="en-US"/>
    </w:rPr>
  </w:style>
  <w:style w:type="character" w:customStyle="1" w:styleId="a5">
    <w:name w:val="متن پاورقی نویسه"/>
    <w:basedOn w:val="a0"/>
    <w:link w:val="a4"/>
    <w:uiPriority w:val="99"/>
    <w:semiHidden/>
    <w:rsid w:val="00042C05"/>
    <w:rPr>
      <w:rFonts w:eastAsiaTheme="minorEastAsia"/>
      <w:sz w:val="20"/>
      <w:szCs w:val="20"/>
      <w:lang w:bidi="en-US"/>
    </w:rPr>
  </w:style>
  <w:style w:type="character" w:styleId="a6">
    <w:name w:val="footnote reference"/>
    <w:basedOn w:val="a0"/>
    <w:uiPriority w:val="99"/>
    <w:semiHidden/>
    <w:unhideWhenUsed/>
    <w:rsid w:val="00042C05"/>
    <w:rPr>
      <w:vertAlign w:val="superscript"/>
    </w:rPr>
  </w:style>
  <w:style w:type="character" w:customStyle="1" w:styleId="StyleLatin20ptComplex18ptSuperscript">
    <w:name w:val="Style (Latin) 20 pt (Complex) 18 pt Superscript"/>
    <w:basedOn w:val="a0"/>
    <w:rsid w:val="00042C05"/>
    <w:rPr>
      <w:sz w:val="40"/>
      <w:szCs w:val="36"/>
      <w:vertAlign w:val="superscript"/>
    </w:rPr>
  </w:style>
  <w:style w:type="paragraph" w:styleId="a7">
    <w:name w:val="header"/>
    <w:basedOn w:val="a"/>
    <w:link w:val="a8"/>
    <w:uiPriority w:val="99"/>
    <w:unhideWhenUsed/>
    <w:rsid w:val="00D71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D71F68"/>
  </w:style>
  <w:style w:type="paragraph" w:styleId="a9">
    <w:name w:val="footer"/>
    <w:basedOn w:val="a"/>
    <w:link w:val="aa"/>
    <w:uiPriority w:val="99"/>
    <w:unhideWhenUsed/>
    <w:rsid w:val="00D71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D71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C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4">
    <w:name w:val="footnote text"/>
    <w:basedOn w:val="a"/>
    <w:link w:val="a5"/>
    <w:uiPriority w:val="99"/>
    <w:semiHidden/>
    <w:unhideWhenUsed/>
    <w:rsid w:val="00042C05"/>
    <w:pPr>
      <w:bidi w:val="0"/>
      <w:spacing w:after="0" w:line="240" w:lineRule="auto"/>
    </w:pPr>
    <w:rPr>
      <w:rFonts w:eastAsiaTheme="minorEastAsia"/>
      <w:sz w:val="20"/>
      <w:szCs w:val="20"/>
      <w:lang w:bidi="en-US"/>
    </w:rPr>
  </w:style>
  <w:style w:type="character" w:customStyle="1" w:styleId="a5">
    <w:name w:val="متن پاورقی نویسه"/>
    <w:basedOn w:val="a0"/>
    <w:link w:val="a4"/>
    <w:uiPriority w:val="99"/>
    <w:semiHidden/>
    <w:rsid w:val="00042C05"/>
    <w:rPr>
      <w:rFonts w:eastAsiaTheme="minorEastAsia"/>
      <w:sz w:val="20"/>
      <w:szCs w:val="20"/>
      <w:lang w:bidi="en-US"/>
    </w:rPr>
  </w:style>
  <w:style w:type="character" w:styleId="a6">
    <w:name w:val="footnote reference"/>
    <w:basedOn w:val="a0"/>
    <w:uiPriority w:val="99"/>
    <w:semiHidden/>
    <w:unhideWhenUsed/>
    <w:rsid w:val="00042C05"/>
    <w:rPr>
      <w:vertAlign w:val="superscript"/>
    </w:rPr>
  </w:style>
  <w:style w:type="character" w:customStyle="1" w:styleId="StyleLatin20ptComplex18ptSuperscript">
    <w:name w:val="Style (Latin) 20 pt (Complex) 18 pt Superscript"/>
    <w:basedOn w:val="a0"/>
    <w:rsid w:val="00042C05"/>
    <w:rPr>
      <w:sz w:val="40"/>
      <w:szCs w:val="36"/>
      <w:vertAlign w:val="superscript"/>
    </w:rPr>
  </w:style>
  <w:style w:type="paragraph" w:styleId="a7">
    <w:name w:val="header"/>
    <w:basedOn w:val="a"/>
    <w:link w:val="a8"/>
    <w:uiPriority w:val="99"/>
    <w:unhideWhenUsed/>
    <w:rsid w:val="00D71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D71F68"/>
  </w:style>
  <w:style w:type="paragraph" w:styleId="a9">
    <w:name w:val="footer"/>
    <w:basedOn w:val="a"/>
    <w:link w:val="aa"/>
    <w:uiPriority w:val="99"/>
    <w:unhideWhenUsed/>
    <w:rsid w:val="00D71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D7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سلام</dc:creator>
  <cp:lastModifiedBy>سلام</cp:lastModifiedBy>
  <cp:revision>5</cp:revision>
  <cp:lastPrinted>2019-10-23T07:42:00Z</cp:lastPrinted>
  <dcterms:created xsi:type="dcterms:W3CDTF">2019-10-22T17:54:00Z</dcterms:created>
  <dcterms:modified xsi:type="dcterms:W3CDTF">2019-10-23T07:42:00Z</dcterms:modified>
</cp:coreProperties>
</file>