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شنبه 5/7/99                                                                      جلسه 14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بیان شد که برای بررسی اعتبار اجتهاد در قاضی، ابتدا باید دید دلیل دال بر نفوذ قضاء قاضی منصوب و قاضی تحکیم چیست.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 عمده دلیلی که به عنوان مدرک نفوذ قضاء به ان استدلال شده یکی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صحیحه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حلبی بود که به دون اشکال دلالت بر نفوذ قضاء قاضی تحکیم می کرد . در کنار این روایت، دو روایت دیگر نیز معروف بود یکی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عمر بن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حنظله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دیگری معتبره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بحث 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مربوط به قاضی منصوب می باشند یا قاضی تحکیم .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معروف در کلمات این است که روایات مزبور، مربوط به قاضی منصوب است اما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فرمودند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مربوط به قاضی منصوب است ولی معتبره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ناظر به قاضی تحکیم می باشد.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تبریزی هم هر دو روایت را مربوط به قاضی تحکیم دانستند . </w:t>
      </w:r>
    </w:p>
    <w:p w:rsidR="00750FB9" w:rsidRPr="007C4838" w:rsidRDefault="00750FB9" w:rsidP="00750FB9">
      <w:pPr>
        <w:ind w:firstLine="386"/>
        <w:jc w:val="both"/>
        <w:rPr>
          <w:rFonts w:ascii="B Badr" w:hAnsi="B Badr" w:cs="B Badr"/>
          <w:b/>
          <w:bCs/>
          <w:sz w:val="32"/>
          <w:szCs w:val="32"/>
          <w:rtl/>
        </w:rPr>
      </w:pPr>
      <w:r w:rsidRPr="007C4838">
        <w:rPr>
          <w:rFonts w:ascii="B Badr" w:hAnsi="B Badr" w:cs="B Badr" w:hint="cs"/>
          <w:b/>
          <w:bCs/>
          <w:sz w:val="32"/>
          <w:szCs w:val="32"/>
          <w:rtl/>
        </w:rPr>
        <w:t>تقریب نظر مشهور: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 مشهور می گویند که چون در هر دو روایت،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امر به رجوع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متخاصمین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عالم در مساله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تعلیل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اینکه من اینها را به عنوان قاضی و حاکم قرار دادم نتیجه می گیریم که مورد به قضاوت تحکیم ارتباط ندارد . باید دید دلیل در مقابل این استدلال تمام است یا خیر .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 در کلام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قبول داریم تعبیر "فانی قد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جعلته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علیکم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حاکما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مربوط به قاضی منصوب است هرچند در سند مشکل دارد، 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پذیریم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معتبره هم مربوط به قاضی تحکیم باشد . زیرا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امر به رجوع به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یعلم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شیئا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قضایانا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"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وقتی در ادامه می فرمایند "فانی قد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جلعته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علیکم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حاکما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رواقع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تفریع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قبل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. وقتی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ابتداء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امر به انتخاب قاضی تحکیم می کنند و سپس می فرمایند که من او را حاکم بر شما قرار دادم یعنی در طول انتخاب شما و به خاطر انتخاب شما، شخص مورد انتخاب را که واجد شرایط نیز هست، من هم به عنوان حاکم قبول دارم و مورد امضاء من است . این فانی قد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جعلته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قاضیا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تفریع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قبل است . بنابراین ظهور صدر در قاضی تحکیم است زیرا برای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طرفین در انتخاب قاضی موضوعیت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قراد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داده شده و موضوعیت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 قاضی تحکیم می سازد نه قاضی منصوب . با این ظهوری که صدر دارد، ذیل روایت هم ظهور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تفریع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ان پیدا می کند و نتیجه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ارتباط روایت با قاضی تحکیم است . 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</w:p>
    <w:p w:rsidR="00750FB9" w:rsidRPr="00B96963" w:rsidRDefault="00750FB9" w:rsidP="00750FB9">
      <w:pPr>
        <w:ind w:firstLine="386"/>
        <w:jc w:val="both"/>
        <w:rPr>
          <w:rFonts w:ascii="B Badr" w:hAnsi="B Badr" w:cs="B Badr"/>
          <w:b/>
          <w:bCs/>
          <w:sz w:val="32"/>
          <w:szCs w:val="32"/>
          <w:rtl/>
        </w:rPr>
      </w:pPr>
      <w:r w:rsidRPr="00B96963">
        <w:rPr>
          <w:rFonts w:ascii="B Badr" w:hAnsi="B Badr" w:cs="B Badr" w:hint="cs"/>
          <w:b/>
          <w:bCs/>
          <w:sz w:val="32"/>
          <w:szCs w:val="32"/>
          <w:rtl/>
        </w:rPr>
        <w:t xml:space="preserve">بررسی تقریب مرحوم </w:t>
      </w:r>
      <w:proofErr w:type="spellStart"/>
      <w:r w:rsidRPr="00B96963">
        <w:rPr>
          <w:rFonts w:ascii="B Badr" w:hAnsi="B Badr" w:cs="B Badr" w:hint="cs"/>
          <w:b/>
          <w:bCs/>
          <w:sz w:val="32"/>
          <w:szCs w:val="32"/>
          <w:rtl/>
        </w:rPr>
        <w:t>اقای</w:t>
      </w:r>
      <w:proofErr w:type="spellEnd"/>
      <w:r w:rsidRPr="00B96963">
        <w:rPr>
          <w:rFonts w:ascii="B Badr" w:hAnsi="B Badr" w:cs="B Badr" w:hint="cs"/>
          <w:b/>
          <w:bCs/>
          <w:sz w:val="32"/>
          <w:szCs w:val="32"/>
          <w:rtl/>
        </w:rPr>
        <w:t xml:space="preserve"> خویی: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اشکالی که نسبت به این بیان وجود دارد و در کلمات 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این است که هرچند ظاهر صدر، موضوعیت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طرفین است اما ظاهر ذیل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تعلیل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در جمع بین دو ظهور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 توجه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اقوائیت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ظهور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تعلیل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باید ظهور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تعلیل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ملاک قرار گیرد . در 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نحن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باید ملاک، ظهور ذیل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تعلیل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45650B">
        <w:rPr>
          <w:rFonts w:ascii="B Badr" w:hAnsi="B Badr" w:cs="B Badr" w:hint="cs"/>
          <w:sz w:val="32"/>
          <w:szCs w:val="32"/>
          <w:rtl/>
        </w:rPr>
        <w:t xml:space="preserve">ملاک </w:t>
      </w:r>
      <w:r>
        <w:rPr>
          <w:rFonts w:ascii="B Badr" w:hAnsi="B Badr" w:cs="B Badr" w:hint="cs"/>
          <w:sz w:val="32"/>
          <w:szCs w:val="32"/>
          <w:rtl/>
        </w:rPr>
        <w:t xml:space="preserve">قرار گیرد نه اینکه حمل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تفریع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صدر شود . لذا بعضی در مقام اشکال به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وجودی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معتبره یکسان تعبیر شده است که فانی قد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جعلته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علیکم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حاکما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یا فانی قد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جعلته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قاضیا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فرق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چیست 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پذیرید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ناظر به قاضی منصوب است اما در معتبره اشکال می کنید؟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با این بیان روشن می شود که فرمایش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تبریزی هم تمام نیست . ایشان در کتاب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القضاء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وقتی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خصمین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امر می شوند که بر کسی که عالم به مساله است توافق کنند و راضی به حکم او شوند، نشان می دهد که روایت مربوط به قاضی تحکیم است نه قاضی منصوب . چون اگر مربوط به قاضی ابتدایی و منصوب بود، لزومی نداشت که توافق دو طرف شرط شود بلکه حق تعیین قاضی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آنِ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مدعی بود و بعد از تعیین ان، مدعی علیه ملزم به پذیرش. 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lastRenderedPageBreak/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هرچند در هر دو روایت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قضات جور مراجعه نکنید بلکه به شخصی که عالم به احکام ماست رجوع کنید و خطاب به هر دو متخاصم است نه یک نفر، اما این مقدار موجب اختصاص به قاضی تحکیم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شود.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تعلیل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ذیل نبود به قاضی تحکیم ارتباط داشت اما در هر دو روایت بعد از بیان لزوم رجوع به عالم در مساله،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تعلیل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که من او را به عنوان قاضی انتخاب کردم و چون منصوب از قبل ماست لازم است به او مراجعه کنید .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مشهور که می گویند این دو روایت مربوط به قاضی منصوب است با توجه به ذیل می گویند که علت لزوم رجوع است. 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بنابراین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مورد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معتبره می شود گفت این است که ارتباطی به قاضی تحکیم ندارد . دلیل بر نفوذ قضاء در قاضی تحکیم همان روایت حلبی است . البته غیر از این روایت حلبی ادله دیگری هم هست که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برای نفوذ قضاوت قاضی تحکیم، استناد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اگر در اطلاق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صحیحه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حلبی اشکال شد به اطلاق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استناد شود . 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تکمله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دارد که شامل قاضی تحکیم می شود و اطلاق نیز دارد . خداوند در سوره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نساء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فرماید : </w:t>
      </w:r>
      <w:proofErr w:type="spellStart"/>
      <w:r w:rsidRPr="00260FAC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260FAC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260FAC">
        <w:rPr>
          <w:rFonts w:ascii="B Badr" w:hAnsi="B Badr" w:cs="B Badr" w:hint="cs"/>
          <w:sz w:val="32"/>
          <w:szCs w:val="32"/>
          <w:rtl/>
        </w:rPr>
        <w:t>إِذا</w:t>
      </w:r>
      <w:proofErr w:type="spellEnd"/>
      <w:r w:rsidRPr="00260FAC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260FAC">
        <w:rPr>
          <w:rFonts w:ascii="B Badr" w:hAnsi="B Badr" w:cs="B Badr" w:hint="cs"/>
          <w:sz w:val="32"/>
          <w:szCs w:val="32"/>
          <w:rtl/>
        </w:rPr>
        <w:t>حَكَمْتُمْ</w:t>
      </w:r>
      <w:proofErr w:type="spellEnd"/>
      <w:r w:rsidRPr="00260FAC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260FAC">
        <w:rPr>
          <w:rFonts w:ascii="B Badr" w:hAnsi="B Badr" w:cs="B Badr" w:hint="cs"/>
          <w:sz w:val="32"/>
          <w:szCs w:val="32"/>
          <w:rtl/>
        </w:rPr>
        <w:t>بَيْنَ</w:t>
      </w:r>
      <w:proofErr w:type="spellEnd"/>
      <w:r w:rsidRPr="00260FAC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260FAC">
        <w:rPr>
          <w:rFonts w:ascii="B Badr" w:hAnsi="B Badr" w:cs="B Badr" w:hint="cs"/>
          <w:sz w:val="32"/>
          <w:szCs w:val="32"/>
          <w:rtl/>
        </w:rPr>
        <w:t>النَّاسِ</w:t>
      </w:r>
      <w:proofErr w:type="spellEnd"/>
      <w:r w:rsidRPr="00260FAC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260FAC">
        <w:rPr>
          <w:rFonts w:ascii="B Badr" w:hAnsi="B Badr" w:cs="B Badr" w:hint="cs"/>
          <w:sz w:val="32"/>
          <w:szCs w:val="32"/>
          <w:rtl/>
        </w:rPr>
        <w:t>أَنْ</w:t>
      </w:r>
      <w:proofErr w:type="spellEnd"/>
      <w:r w:rsidRPr="00260FAC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260FAC">
        <w:rPr>
          <w:rFonts w:ascii="B Badr" w:hAnsi="B Badr" w:cs="B Badr" w:hint="cs"/>
          <w:sz w:val="32"/>
          <w:szCs w:val="32"/>
          <w:rtl/>
        </w:rPr>
        <w:t>تَحْكُمُوا</w:t>
      </w:r>
      <w:proofErr w:type="spellEnd"/>
      <w:r w:rsidRPr="00260FAC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260FAC">
        <w:rPr>
          <w:rFonts w:ascii="B Badr" w:hAnsi="B Badr" w:cs="B Badr" w:hint="cs"/>
          <w:sz w:val="32"/>
          <w:szCs w:val="32"/>
          <w:rtl/>
        </w:rPr>
        <w:t>بِالْعَدْلِ</w:t>
      </w:r>
      <w:proofErr w:type="spellEnd"/>
      <w:r w:rsidRPr="00260FAC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Style w:val="a5"/>
          <w:rFonts w:ascii="B Badr" w:hAnsi="B Badr" w:cs="B Badr"/>
          <w:sz w:val="32"/>
          <w:szCs w:val="32"/>
          <w:rtl/>
        </w:rPr>
        <w:footnoteReference w:id="1"/>
      </w:r>
      <w:r>
        <w:rPr>
          <w:rFonts w:ascii="B Badr" w:hAnsi="B Badr" w:cs="B Badr" w:hint="cs"/>
          <w:sz w:val="32"/>
          <w:szCs w:val="32"/>
          <w:rtl/>
        </w:rPr>
        <w:t xml:space="preserve">.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قاضی تحکیم را هم می گیرد و اطلاق نیز دارد یعنی چه ان شخص مجتهد باشد یا فقط عالم به مساله باشد ولو عن تقلید. </w:t>
      </w:r>
    </w:p>
    <w:p w:rsidR="00750FB9" w:rsidRDefault="00750FB9" w:rsidP="0045650B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استدلال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قبل از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خویی، صاحب جواهر مطرح کرده است و به وی اشکال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استفاده می شود این است که ان شخصی که بین مردم حکم می کند باید به عدل حکم کند اما چه کسی قضاوت کند که از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استفاده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 عمده اشکال در استدلال به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شریفه همین است. علاوه بر ان</w:t>
      </w:r>
      <w:r w:rsidR="0045650B">
        <w:rPr>
          <w:rFonts w:ascii="B Badr" w:hAnsi="B Badr" w:cs="B Badr" w:hint="cs"/>
          <w:sz w:val="32"/>
          <w:szCs w:val="32"/>
          <w:rtl/>
        </w:rPr>
        <w:t xml:space="preserve"> اشکال </w:t>
      </w:r>
      <w:r>
        <w:rPr>
          <w:rFonts w:ascii="B Badr" w:hAnsi="B Badr" w:cs="B Badr" w:hint="cs"/>
          <w:sz w:val="32"/>
          <w:szCs w:val="32"/>
          <w:rtl/>
        </w:rPr>
        <w:t xml:space="preserve">، </w:t>
      </w:r>
      <w:r w:rsidR="0045650B">
        <w:rPr>
          <w:rFonts w:ascii="B Badr" w:hAnsi="B Badr" w:cs="B Badr" w:hint="cs"/>
          <w:sz w:val="32"/>
          <w:szCs w:val="32"/>
          <w:rtl/>
        </w:rPr>
        <w:t xml:space="preserve">مرحوم </w:t>
      </w:r>
      <w:r>
        <w:rPr>
          <w:rFonts w:ascii="B Badr" w:hAnsi="B Badr" w:cs="B Badr" w:hint="cs"/>
          <w:sz w:val="32"/>
          <w:szCs w:val="32"/>
          <w:rtl/>
        </w:rPr>
        <w:t xml:space="preserve">امام اشکال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اختصاص به من له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الحکم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و خطاب به عامه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الناس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نیست تا از ان اطلاق گیری شود.</w:t>
      </w:r>
    </w:p>
    <w:p w:rsidR="00750FB9" w:rsidRDefault="0045650B" w:rsidP="00C63C4A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بعد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تعيين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امر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روايات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مربوط به قاضی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تحکيم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يا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قاضی منصوب ، </w:t>
      </w:r>
      <w:r w:rsidR="00750FB9">
        <w:rPr>
          <w:rFonts w:ascii="B Badr" w:hAnsi="B Badr" w:cs="B Badr" w:hint="cs"/>
          <w:sz w:val="32"/>
          <w:szCs w:val="32"/>
          <w:rtl/>
        </w:rPr>
        <w:t xml:space="preserve">این نکته </w:t>
      </w:r>
      <w:r>
        <w:rPr>
          <w:rFonts w:ascii="B Badr" w:hAnsi="B Badr" w:cs="B Badr" w:hint="cs"/>
          <w:sz w:val="32"/>
          <w:szCs w:val="32"/>
          <w:rtl/>
        </w:rPr>
        <w:t xml:space="preserve">هم </w:t>
      </w:r>
      <w:r w:rsidR="00750FB9">
        <w:rPr>
          <w:rFonts w:ascii="B Badr" w:hAnsi="B Badr" w:cs="B Badr" w:hint="cs"/>
          <w:sz w:val="32"/>
          <w:szCs w:val="32"/>
          <w:rtl/>
        </w:rPr>
        <w:t xml:space="preserve">باید در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روايات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(</w:t>
      </w:r>
      <w:r w:rsidR="00750FB9">
        <w:rPr>
          <w:rFonts w:ascii="B Badr" w:hAnsi="B Badr" w:cs="B Badr" w:hint="cs"/>
          <w:sz w:val="32"/>
          <w:szCs w:val="32"/>
          <w:rtl/>
        </w:rPr>
        <w:t xml:space="preserve">روایت حلبی و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عمر بن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حنظله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و معتبره ابی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) </w:t>
      </w:r>
      <w:r w:rsidR="00750FB9">
        <w:rPr>
          <w:rFonts w:ascii="B Badr" w:hAnsi="B Badr" w:cs="B Badr" w:hint="cs"/>
          <w:sz w:val="32"/>
          <w:szCs w:val="32"/>
          <w:rtl/>
        </w:rPr>
        <w:t xml:space="preserve">معلوم شود که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نفوذ قضاء قاضی و حق قضاوت داشتن </w:t>
      </w:r>
      <w:r>
        <w:rPr>
          <w:rFonts w:ascii="B Badr" w:hAnsi="B Badr" w:cs="B Badr" w:hint="cs"/>
          <w:sz w:val="32"/>
          <w:szCs w:val="32"/>
          <w:rtl/>
        </w:rPr>
        <w:t>مشروط به</w:t>
      </w:r>
      <w:r w:rsidR="00750FB9">
        <w:rPr>
          <w:rFonts w:ascii="B Badr" w:hAnsi="B Badr" w:cs="B Badr" w:hint="cs"/>
          <w:sz w:val="32"/>
          <w:szCs w:val="32"/>
          <w:rtl/>
        </w:rPr>
        <w:t xml:space="preserve"> اجتهاد هست یا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اينکه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علم به احکام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شريعت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کافی است هرچند از روی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تقليد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</w:t>
      </w:r>
      <w:r w:rsidR="00C63C4A">
        <w:rPr>
          <w:rFonts w:ascii="B Badr" w:hAnsi="B Badr" w:cs="B Badr" w:hint="cs"/>
          <w:sz w:val="32"/>
          <w:szCs w:val="32"/>
          <w:rtl/>
        </w:rPr>
        <w:t>؟</w:t>
      </w:r>
      <w:r w:rsidR="00750FB9">
        <w:rPr>
          <w:rFonts w:ascii="B Badr" w:hAnsi="B Badr" w:cs="B Badr" w:hint="cs"/>
          <w:sz w:val="32"/>
          <w:szCs w:val="32"/>
          <w:rtl/>
        </w:rPr>
        <w:t xml:space="preserve"> </w:t>
      </w:r>
    </w:p>
    <w:p w:rsidR="00750FB9" w:rsidRDefault="00C63C4A" w:rsidP="00C63C4A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نسبت به</w:t>
      </w:r>
      <w:r w:rsidR="00750FB9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صحیحه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حلبی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بايد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گفت </w:t>
      </w:r>
      <w:r w:rsidR="00750FB9">
        <w:rPr>
          <w:rFonts w:ascii="B Badr" w:hAnsi="B Badr" w:cs="B Badr" w:hint="cs"/>
          <w:sz w:val="32"/>
          <w:szCs w:val="32"/>
          <w:rtl/>
        </w:rPr>
        <w:t xml:space="preserve">فی حد نفسه اطلاق دارد . زیرا در ان نیامده که رجوع به مجتهد کنند بلکه فقط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است اگر به </w:t>
      </w:r>
      <w:r w:rsidR="00750FB9">
        <w:rPr>
          <w:rFonts w:ascii="B Badr" w:hAnsi="B Badr" w:cs="Cambria" w:hint="cs"/>
          <w:sz w:val="32"/>
          <w:szCs w:val="32"/>
          <w:rtl/>
        </w:rPr>
        <w:t>"</w:t>
      </w:r>
      <w:r w:rsidR="00750FB9">
        <w:rPr>
          <w:rFonts w:ascii="B Badr" w:hAnsi="B Badr" w:cs="B Badr" w:hint="cs"/>
          <w:sz w:val="32"/>
          <w:szCs w:val="32"/>
          <w:rtl/>
        </w:rPr>
        <w:t xml:space="preserve">رجل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منا</w:t>
      </w:r>
      <w:proofErr w:type="spellEnd"/>
      <w:r w:rsidR="00750FB9">
        <w:rPr>
          <w:rFonts w:ascii="B Badr" w:hAnsi="B Badr" w:cs="Cambria" w:hint="cs"/>
          <w:sz w:val="32"/>
          <w:szCs w:val="32"/>
          <w:rtl/>
        </w:rPr>
        <w:t>"</w:t>
      </w:r>
      <w:r w:rsidR="00750FB9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کنند و او میان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متخاصمین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حکم کند نافذ است . بنابراین چون در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صحیحه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حلبی اعتبار اجتهاد نشده یا تعبیری که ملازم به فقاهت باشد در ان نیامده است، فی حد نفسه اطلاق دارد اما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این اطلاق قابل اخذ است یا ولو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قیدی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نیامده است اما </w:t>
      </w:r>
      <w:r>
        <w:rPr>
          <w:rFonts w:ascii="B Badr" w:hAnsi="B Badr" w:cs="B Badr" w:hint="cs"/>
          <w:sz w:val="32"/>
          <w:szCs w:val="32"/>
          <w:rtl/>
        </w:rPr>
        <w:t>از</w:t>
      </w:r>
      <w:r w:rsidR="00750FB9">
        <w:rPr>
          <w:rFonts w:ascii="B Badr" w:hAnsi="B Badr" w:cs="B Badr" w:hint="cs"/>
          <w:sz w:val="32"/>
          <w:szCs w:val="32"/>
          <w:rtl/>
        </w:rPr>
        <w:t xml:space="preserve"> این عدم </w:t>
      </w:r>
      <w:proofErr w:type="spellStart"/>
      <w:r w:rsidR="00750FB9">
        <w:rPr>
          <w:rFonts w:ascii="B Badr" w:hAnsi="B Badr" w:cs="B Badr" w:hint="cs"/>
          <w:sz w:val="32"/>
          <w:szCs w:val="32"/>
          <w:rtl/>
        </w:rPr>
        <w:t>التقیید</w:t>
      </w:r>
      <w:proofErr w:type="spellEnd"/>
      <w:r w:rsidR="00750FB9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 اطلاق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گيری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کرد </w:t>
      </w:r>
      <w:r w:rsidR="00750FB9">
        <w:rPr>
          <w:rFonts w:ascii="B Badr" w:hAnsi="B Badr" w:cs="B Badr" w:hint="cs"/>
          <w:sz w:val="32"/>
          <w:szCs w:val="32"/>
          <w:rtl/>
        </w:rPr>
        <w:t xml:space="preserve"> . 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به اطلاق روایت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صحیحه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حلبی اشکال شده است که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 نفی رجوع به غیر می فرمایند اگر می خواهید مشکل خود را حل کنید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رجل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کنید. در مقام بیان 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یعتبر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القاضی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نیستند تا اطلاق گیری کنید . علاوه بر اینکه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تعابیری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روایت مثل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لیس هو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ذاک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نشان می دهد که این روایت مسبوق به مساله ای معهود بین حلبی و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 حضرت در این روایت به همان مساله اشاره دارند . اگر ان مساله معلوم نباشد اطلاق گیری هم از ان ممکن نیست .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این اشکال تمام نیست و می شود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صحیحه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حلبی در مورد خودش که قاضی تحکیم است اطلاق گرفت.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سوال سائل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منازعه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 باشد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رجل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کنند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فرمودند که جایز است . بدون اشکال "لیس هو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ذاک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به بعد، دلالت بر صحت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کند و از ان استفاده می شود که امام علیه اسلام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رجل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امضاء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این امضاء هم هیچ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قیدی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که شخص قاضی و حاکم، اجتهاد داشته باشد . بله از این روایت استفاده می شود که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رجوع به قضات جور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ردّ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lastRenderedPageBreak/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مطلب اصلی روایت است تصحیح رجو</w:t>
      </w:r>
      <w:bookmarkStart w:id="0" w:name="_GoBack"/>
      <w:bookmarkEnd w:id="0"/>
      <w:r>
        <w:rPr>
          <w:rFonts w:ascii="B Badr" w:hAnsi="B Badr" w:cs="B Badr" w:hint="cs"/>
          <w:sz w:val="32"/>
          <w:szCs w:val="32"/>
          <w:rtl/>
        </w:rPr>
        <w:t xml:space="preserve">ع به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رجل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است و در کنارش هم می گویند این چیزی که ما می گوییم غیر از رجوع به قاضی جور است . </w:t>
      </w:r>
    </w:p>
    <w:p w:rsidR="00750FB9" w:rsidRDefault="00750FB9" w:rsidP="00C63C4A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روایت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عنوانی که دارد این است که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رجل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منکم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یعلم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شیئا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قضایانا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یعنی احکام قضایی ما را بداند . این تعبیر دلالت ندارد که شخص مجتهد باشد بلکه علم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شئ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قضایانا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صادق است ولو عن تقلید این علم را به دست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اورده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. همین که احکام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معتنا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کثیره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یاد گرفته باشد عنوان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یعلم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شیئا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قضایانا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صادق است . 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ولی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تعبیری به کار رفته است که در غیر مجتهد صادق نیست . تعبیر این است که احکام ما را بداند و نظر فی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حلالنا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حرامنا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مجموع این تعابیر نسبت به شخص عامی صادق نیست . اینکه بعد از اعمال نظر حکم را بشناسد بر علم عامی صادق نیست . لذا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دلالت بر اختصاص قضاء به مجتهد دارد . </w:t>
      </w:r>
    </w:p>
    <w:p w:rsidR="00750FB9" w:rsidRDefault="00750FB9" w:rsidP="00750FB9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با توجه به اینکه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دلالت بر اعتبار اجتهاد دارد اما معتبره ندارد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صحیحه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حلبی هم که اساسا مربوط به قاضی تحکیم می باشد و عنوانی خاص به مجتهد هم در ان ذکر نشده، باید ببینیم که در دو قسم قاضی که یکی قاضی تحکیم است و دیگری منصوب، اجتهاد معتبر است یا خیر . </w:t>
      </w:r>
    </w:p>
    <w:p w:rsidR="00750FB9" w:rsidRDefault="00750FB9" w:rsidP="00C63C4A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ابتدا باید مقتضای اصل معلوم شود تا در خروج از مقتضای اصل، دنبال دلیل بگردیم. لا اشکال که در سعه و ضیق موارد نفوذ قضاء، مقتضای اصل عدم نفوذ است . چون اصل اولی این است که قضاوت و حکمیت هیچ شخصی برای دیگری نافذ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. زیرا غیر از خداوند، دیگری مال</w:t>
      </w:r>
      <w:r w:rsidR="00C63C4A">
        <w:rPr>
          <w:rFonts w:ascii="B Badr" w:hAnsi="B Badr" w:cs="B Badr" w:hint="cs"/>
          <w:sz w:val="32"/>
          <w:szCs w:val="32"/>
          <w:rtl/>
        </w:rPr>
        <w:t>ک</w:t>
      </w:r>
      <w:r>
        <w:rPr>
          <w:rFonts w:ascii="B Badr" w:hAnsi="B Badr" w:cs="B Badr" w:hint="cs"/>
          <w:sz w:val="32"/>
          <w:szCs w:val="32"/>
          <w:rtl/>
        </w:rPr>
        <w:t>یت</w:t>
      </w:r>
      <w:r w:rsidR="00C63C4A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برانسان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ندارد تا نظرش برای شخص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نافذ باشد . حتی در قاضی تحکیم هم مقتضای اصل اولی عدم نفوذ است . چون مقصود از نفوذ قضاء در قاضی تحکیم هم این است که اگر دو نفر نسبت به یکی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کردند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حکمش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نافذ است ولو بعدا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تراجع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کنند. این معنا حتی در قاضی تحکیم هم خلاف اصل است. بله اینکه مصالحه کنند که هر چه قاضی گفت عمل کنیم این بحث دیگری است و مقتضای عقد مصالحه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اما نفوذ قضاء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معنایش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همین است که گفتیم و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این معنا هم خلاف اصل است . اصل در اینجا همان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عدم الزام است .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شرطیت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یک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شئ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احکام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تکلیفیه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شک داشته باشیم </w:t>
      </w:r>
      <w:r w:rsidR="00C63C4A">
        <w:rPr>
          <w:rFonts w:ascii="B Badr" w:hAnsi="B Badr" w:cs="B Badr" w:hint="cs"/>
          <w:sz w:val="32"/>
          <w:szCs w:val="32"/>
          <w:rtl/>
        </w:rPr>
        <w:t>مقتضای اصل</w:t>
      </w:r>
      <w:r>
        <w:rPr>
          <w:rFonts w:ascii="B Badr" w:hAnsi="B Badr" w:cs="B Badr" w:hint="cs"/>
          <w:sz w:val="32"/>
          <w:szCs w:val="32"/>
          <w:rtl/>
        </w:rPr>
        <w:t xml:space="preserve">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شرطیت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اما اگر در اعتبار چیزی در احکام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وضعیه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شک کنیم </w:t>
      </w:r>
      <w:r w:rsidR="00C63C4A">
        <w:rPr>
          <w:rFonts w:ascii="B Badr" w:hAnsi="B Badr" w:cs="B Badr" w:hint="cs"/>
          <w:sz w:val="32"/>
          <w:szCs w:val="32"/>
          <w:rtl/>
        </w:rPr>
        <w:t xml:space="preserve">چه در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معاملات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به معنای اخص(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عقود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وايقاعات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)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وچه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غير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آن ، مقتضای اصل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شرطيت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است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يعنی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>باید ان را رعایت کنیم و</w:t>
      </w:r>
      <w:r w:rsidR="00C63C4A">
        <w:rPr>
          <w:rFonts w:ascii="B Badr" w:hAnsi="B Badr" w:cs="B Badr" w:hint="cs"/>
          <w:sz w:val="32"/>
          <w:szCs w:val="32"/>
          <w:rtl/>
        </w:rPr>
        <w:t xml:space="preserve"> در</w:t>
      </w:r>
      <w:r>
        <w:rPr>
          <w:rFonts w:ascii="B Badr" w:hAnsi="B Badr" w:cs="B Badr" w:hint="cs"/>
          <w:sz w:val="32"/>
          <w:szCs w:val="32"/>
          <w:rtl/>
        </w:rPr>
        <w:t xml:space="preserve"> فاقد شرط مشکوک، </w:t>
      </w:r>
      <w:r w:rsidR="00C63C4A">
        <w:rPr>
          <w:rFonts w:ascii="B Badr" w:hAnsi="B Badr" w:cs="B Badr" w:hint="cs"/>
          <w:sz w:val="32"/>
          <w:szCs w:val="32"/>
          <w:rtl/>
        </w:rPr>
        <w:t xml:space="preserve"> حکم به عدم ثبوت اعتبار کرد ، شک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درحجيت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هم از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قبيل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است اگر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درسعه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وضيق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حجيت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 شک شود در زائد بر مقدار </w:t>
      </w:r>
      <w:proofErr w:type="spellStart"/>
      <w:r w:rsidR="00C63C4A">
        <w:rPr>
          <w:rFonts w:ascii="B Badr" w:hAnsi="B Badr" w:cs="B Badr" w:hint="cs"/>
          <w:sz w:val="32"/>
          <w:szCs w:val="32"/>
          <w:rtl/>
        </w:rPr>
        <w:t>متيقن</w:t>
      </w:r>
      <w:proofErr w:type="spellEnd"/>
      <w:r w:rsidR="00C63C4A">
        <w:rPr>
          <w:rFonts w:ascii="B Badr" w:hAnsi="B Badr" w:cs="B Badr" w:hint="cs"/>
          <w:sz w:val="32"/>
          <w:szCs w:val="32"/>
          <w:rtl/>
        </w:rPr>
        <w:t xml:space="preserve"> ،</w:t>
      </w:r>
      <w:r w:rsidR="00C63C4A">
        <w:rPr>
          <w:rFonts w:ascii="B Badr" w:hAnsi="B Badr" w:cs="Times New Roman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اصل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ان است . با توجه به این اصل باید دید که در مورد قاضی تحکیم به چه مقدار دلیل، دلالت بر نفوذ کرده است و در مورد قاضی منصوب چه مقدار .</w:t>
      </w:r>
    </w:p>
    <w:p w:rsidR="003956BE" w:rsidRDefault="003956BE"/>
    <w:sectPr w:rsidR="003956BE" w:rsidSect="003956BE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BE" w:rsidRDefault="00C57ABE" w:rsidP="00750FB9">
      <w:pPr>
        <w:spacing w:after="0" w:line="240" w:lineRule="auto"/>
      </w:pPr>
      <w:r>
        <w:separator/>
      </w:r>
    </w:p>
  </w:endnote>
  <w:endnote w:type="continuationSeparator" w:id="0">
    <w:p w:rsidR="00C57ABE" w:rsidRDefault="00C57ABE" w:rsidP="0075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BE" w:rsidRDefault="00C57ABE" w:rsidP="00750FB9">
      <w:pPr>
        <w:spacing w:after="0" w:line="240" w:lineRule="auto"/>
      </w:pPr>
      <w:r>
        <w:separator/>
      </w:r>
    </w:p>
  </w:footnote>
  <w:footnote w:type="continuationSeparator" w:id="0">
    <w:p w:rsidR="00C57ABE" w:rsidRDefault="00C57ABE" w:rsidP="00750FB9">
      <w:pPr>
        <w:spacing w:after="0" w:line="240" w:lineRule="auto"/>
      </w:pPr>
      <w:r>
        <w:continuationSeparator/>
      </w:r>
    </w:p>
  </w:footnote>
  <w:footnote w:id="1">
    <w:p w:rsidR="00750FB9" w:rsidRDefault="00750FB9" w:rsidP="00750FB9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نساء</w:t>
      </w:r>
      <w:proofErr w:type="spellEnd"/>
      <w:r>
        <w:rPr>
          <w:rFonts w:hint="cs"/>
          <w:rtl/>
        </w:rPr>
        <w:t>/58.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97408653"/>
      <w:docPartObj>
        <w:docPartGallery w:val="Page Numbers (Top of Page)"/>
        <w:docPartUnique/>
      </w:docPartObj>
    </w:sdtPr>
    <w:sdtContent>
      <w:p w:rsidR="0045650B" w:rsidRDefault="004565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C4A" w:rsidRPr="00C63C4A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45650B" w:rsidRDefault="004565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B9"/>
    <w:rsid w:val="003956BE"/>
    <w:rsid w:val="0045650B"/>
    <w:rsid w:val="00750FB9"/>
    <w:rsid w:val="00A827BD"/>
    <w:rsid w:val="00C57ABE"/>
    <w:rsid w:val="00C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B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FB9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750FB9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0FB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45650B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45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45650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B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FB9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750FB9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0FB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45650B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45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45650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mirdamadi</dc:creator>
  <cp:keywords/>
  <dc:description/>
  <cp:lastModifiedBy>سلام</cp:lastModifiedBy>
  <cp:revision>3</cp:revision>
  <dcterms:created xsi:type="dcterms:W3CDTF">2020-09-26T17:37:00Z</dcterms:created>
  <dcterms:modified xsi:type="dcterms:W3CDTF">2020-09-27T12:25:00Z</dcterms:modified>
</cp:coreProperties>
</file>