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الدرس٤٩ تاريخ</w:t>
      </w:r>
      <w:r w:rsidR="00C672DD" w:rsidRPr="00307CCE">
        <w:rPr>
          <w:rFonts w:cs="Taher"/>
          <w:shd w:val="clear" w:color="auto" w:fill="FEFFFE"/>
          <w:rtl/>
        </w:rPr>
        <w:t xml:space="preserve"> </w:t>
      </w:r>
      <w:r w:rsidRPr="00307CCE">
        <w:rPr>
          <w:rFonts w:cs="Taher"/>
          <w:shd w:val="clear" w:color="auto" w:fill="FEFFFE"/>
          <w:rtl/>
        </w:rPr>
        <w:t xml:space="preserve"> </w:t>
      </w:r>
      <w:r w:rsidR="00C672DD" w:rsidRPr="00307CCE">
        <w:rPr>
          <w:rFonts w:cs="Taher"/>
          <w:shd w:val="clear" w:color="auto" w:fill="FEFFFE"/>
          <w:rtl/>
        </w:rPr>
        <w:t>28/9/97</w:t>
      </w:r>
    </w:p>
    <w:p w:rsidR="00E00D12" w:rsidRPr="00307CCE" w:rsidRDefault="00006629" w:rsidP="00C26855">
      <w:pPr>
        <w:pStyle w:val="a4"/>
        <w:jc w:val="highKashida"/>
        <w:rPr>
          <w:rFonts w:cs="Taher" w:hint="default"/>
          <w:shd w:val="clear" w:color="auto" w:fill="FEFFFE"/>
          <w:rtl/>
        </w:rPr>
      </w:pPr>
      <w:r w:rsidRPr="00307CCE">
        <w:rPr>
          <w:rFonts w:cs="Taher"/>
          <w:b/>
          <w:bCs/>
          <w:shd w:val="clear" w:color="auto" w:fill="FEFFFE"/>
          <w:rtl/>
        </w:rPr>
        <w:t>الجهة السابعة عشرة</w:t>
      </w:r>
      <w:r w:rsidRPr="00307CCE">
        <w:rPr>
          <w:rFonts w:ascii="Al Nile" w:hAnsi="Al Nile" w:cs="Taher"/>
          <w:shd w:val="clear" w:color="auto" w:fill="FEFFFE"/>
          <w:rtl/>
        </w:rPr>
        <w:t xml:space="preserve">: </w:t>
      </w:r>
      <w:r w:rsidRPr="00307CCE">
        <w:rPr>
          <w:rFonts w:cs="Taher"/>
          <w:shd w:val="clear" w:color="auto" w:fill="FEFFFE"/>
          <w:rtl/>
        </w:rPr>
        <w:t>هل الحكم بالمضي</w:t>
      </w:r>
      <w:r w:rsidR="00C672DD" w:rsidRPr="00307CCE">
        <w:rPr>
          <w:rFonts w:cs="Taher"/>
          <w:shd w:val="clear" w:color="auto" w:fill="FEFFFE"/>
          <w:rtl/>
        </w:rPr>
        <w:t xml:space="preserve"> </w:t>
      </w:r>
      <w:r w:rsidRPr="00307CCE">
        <w:rPr>
          <w:rFonts w:cs="Taher"/>
          <w:shd w:val="clear" w:color="auto" w:fill="FEFFFE"/>
          <w:rtl/>
        </w:rPr>
        <w:t>من باب الرخصة أو العزيمة؟</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 xml:space="preserve">وقع الكلام في أن الحكم بالمضي في القاعدتين من باب الرخصة بمعنى أنه هل يمكن للمكلف أن يعتني بالشك في موردهما أو من باب العزيمة بمعنى أنه يتعين عليه المضي وعدم الاعتناء </w:t>
      </w:r>
      <w:r w:rsidRPr="00307CCE">
        <w:rPr>
          <w:rFonts w:cs="Taher"/>
          <w:shd w:val="clear" w:color="auto" w:fill="FEFFFE"/>
          <w:rtl/>
        </w:rPr>
        <w:t>بالشك؟</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وعمدة ما استدل به على العزيمة وجهان</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الأول</w:t>
      </w:r>
      <w:r w:rsidRPr="00307CCE">
        <w:rPr>
          <w:rFonts w:ascii="Al Nile" w:hAnsi="Al Nile" w:cs="Taher"/>
          <w:shd w:val="clear" w:color="auto" w:fill="FEFFFE"/>
          <w:rtl/>
        </w:rPr>
        <w:t xml:space="preserve">: </w:t>
      </w:r>
      <w:r w:rsidRPr="00307CCE">
        <w:rPr>
          <w:rFonts w:cs="Taher"/>
          <w:shd w:val="clear" w:color="auto" w:fill="FEFFFE"/>
          <w:rtl/>
        </w:rPr>
        <w:t>أن الأمر بالمضي في الأدلة ظاهر في اللزوم والوجوب وحمله على الرخصة خلاف الظاهر</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نوقش هذا الوجه بمناقشات</w:t>
      </w:r>
      <w:r w:rsidRPr="00307CCE">
        <w:rPr>
          <w:rFonts w:ascii="Al Nile" w:hAnsi="Al Nile" w:cs="Taher"/>
          <w:shd w:val="clear" w:color="auto" w:fill="FEFFFE"/>
          <w:rtl/>
        </w:rPr>
        <w:t>:</w:t>
      </w:r>
    </w:p>
    <w:p w:rsidR="00E00D12" w:rsidRPr="00307CCE" w:rsidRDefault="00006629" w:rsidP="00C26855">
      <w:pPr>
        <w:pStyle w:val="a6"/>
        <w:bidi/>
        <w:jc w:val="highKashida"/>
        <w:rPr>
          <w:rFonts w:cs="Taher"/>
          <w:sz w:val="36"/>
          <w:szCs w:val="36"/>
          <w:shd w:val="clear" w:color="auto" w:fill="FEFFFE"/>
          <w:rtl/>
        </w:rPr>
      </w:pPr>
      <w:r w:rsidRPr="00307CCE">
        <w:rPr>
          <w:rFonts w:ascii="Arial Unicode MS" w:eastAsia="Arial Unicode MS" w:hAnsi="Arial Unicode MS" w:cs="Taher" w:hint="cs"/>
          <w:sz w:val="36"/>
          <w:szCs w:val="36"/>
          <w:shd w:val="clear" w:color="auto" w:fill="FEFFFE"/>
          <w:rtl/>
          <w:lang w:val="ar-SA" w:bidi="ar-SA"/>
        </w:rPr>
        <w:t>الأولى</w:t>
      </w:r>
      <w:r w:rsidRPr="00307CCE">
        <w:rPr>
          <w:rFonts w:ascii="Al Nile" w:hAnsi="Al Nile" w:cs="Taher"/>
          <w:sz w:val="36"/>
          <w:szCs w:val="36"/>
          <w:shd w:val="clear" w:color="auto" w:fill="FEFFFE"/>
          <w:rtl/>
          <w:lang w:val="ar-SA" w:bidi="ar-SA"/>
        </w:rPr>
        <w:t>:</w:t>
      </w:r>
      <w:r w:rsidR="00C672DD" w:rsidRPr="00307CCE">
        <w:rPr>
          <w:rFonts w:ascii="Al Nile" w:hAnsi="Al Nile" w:cs="Taher" w:hint="cs"/>
          <w:sz w:val="36"/>
          <w:szCs w:val="36"/>
          <w:shd w:val="clear" w:color="auto" w:fill="FEFFFE"/>
          <w:rtl/>
          <w:lang w:val="ar-SA" w:bidi="ar-SA"/>
        </w:rPr>
        <w:t xml:space="preserve"> ماورد في کلام عدة من المحققين کالمحقق الهمداني ره من </w:t>
      </w:r>
      <w:r w:rsidR="00C672DD" w:rsidRPr="00307CCE">
        <w:rPr>
          <w:rFonts w:cs="Taher"/>
          <w:sz w:val="36"/>
          <w:szCs w:val="36"/>
          <w:shd w:val="clear" w:color="auto" w:fill="FEFFFE"/>
          <w:rtl/>
        </w:rPr>
        <w:t>ان الامر</w:t>
      </w:r>
      <w:r w:rsidR="00C672DD" w:rsidRPr="00307CCE">
        <w:rPr>
          <w:rFonts w:ascii="Noor_Nazli" w:hAnsi="Noor_Nazli" w:cs="Taher" w:hint="cs"/>
          <w:color w:val="000000" w:themeColor="text1"/>
          <w:sz w:val="36"/>
          <w:szCs w:val="36"/>
          <w:rtl/>
        </w:rPr>
        <w:t xml:space="preserve"> بالمضي</w:t>
      </w:r>
      <w:r w:rsidR="00C672DD" w:rsidRPr="00307CCE">
        <w:rPr>
          <w:rFonts w:ascii="Noor_Nazli" w:hAnsi="Noor_Nazli" w:cs="Taher" w:hint="cs"/>
          <w:color w:val="000000" w:themeColor="text1"/>
          <w:sz w:val="36"/>
          <w:szCs w:val="36"/>
          <w:rtl/>
        </w:rPr>
        <w:t xml:space="preserve"> في نصوص القاعدتين</w:t>
      </w:r>
      <w:r w:rsidR="00C672DD" w:rsidRPr="00307CCE">
        <w:rPr>
          <w:rFonts w:ascii="Noor_Nazli" w:hAnsi="Noor_Nazli" w:cs="Taher" w:hint="cs"/>
          <w:color w:val="000000" w:themeColor="text1"/>
          <w:sz w:val="36"/>
          <w:szCs w:val="36"/>
          <w:rtl/>
        </w:rPr>
        <w:t xml:space="preserve"> أمر واقع مورد توهم الحظر يعني: حظر المضي و لزوم العود و إتيان‏</w:t>
      </w:r>
      <w:r w:rsidR="00C672DD" w:rsidRPr="00307CCE">
        <w:rPr>
          <w:rFonts w:cs="Taher" w:hint="cs"/>
          <w:color w:val="000000" w:themeColor="text1"/>
          <w:sz w:val="36"/>
          <w:szCs w:val="36"/>
          <w:rtl/>
        </w:rPr>
        <w:t xml:space="preserve"> </w:t>
      </w:r>
      <w:r w:rsidR="00C672DD" w:rsidRPr="00307CCE">
        <w:rPr>
          <w:rFonts w:ascii="Noor_Nazli" w:hAnsi="Noor_Nazli" w:cs="Taher" w:hint="cs"/>
          <w:color w:val="000000" w:themeColor="text1"/>
          <w:sz w:val="36"/>
          <w:szCs w:val="36"/>
          <w:rtl/>
        </w:rPr>
        <w:t xml:space="preserve"> المشكوك، فلا يفيد سوى عدم الحظر و عدم لزوم العود لا لزوم المضي و حرمة العود</w:t>
      </w:r>
      <w:r w:rsidR="00C672DD" w:rsidRPr="00307CCE">
        <w:rPr>
          <w:rFonts w:cs="Taher"/>
          <w:sz w:val="36"/>
          <w:szCs w:val="36"/>
          <w:shd w:val="clear" w:color="auto" w:fill="FEFFFE"/>
          <w:rtl/>
        </w:rPr>
        <w:t>.</w:t>
      </w:r>
    </w:p>
    <w:p w:rsidR="00E00D12" w:rsidRPr="00307CCE" w:rsidRDefault="00E00D12" w:rsidP="00C26855">
      <w:pPr>
        <w:pStyle w:val="a4"/>
        <w:jc w:val="highKashida"/>
        <w:rPr>
          <w:rFonts w:cs="Taher" w:hint="default"/>
          <w:shd w:val="clear" w:color="auto" w:fill="FEFFFE"/>
          <w:rtl/>
        </w:rPr>
      </w:pP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 xml:space="preserve">وفيه </w:t>
      </w:r>
      <w:r w:rsidR="00C672DD" w:rsidRPr="00307CCE">
        <w:rPr>
          <w:rFonts w:cs="Taher"/>
          <w:shd w:val="clear" w:color="auto" w:fill="FEFFFE"/>
          <w:rtl/>
        </w:rPr>
        <w:t>:</w:t>
      </w:r>
      <w:r w:rsidRPr="00307CCE">
        <w:rPr>
          <w:rFonts w:cs="Taher"/>
          <w:shd w:val="clear" w:color="auto" w:fill="FEFFFE"/>
          <w:rtl/>
        </w:rPr>
        <w:t>أن الأمر الوارد في مقام الحظر إذا ورد في مورد لم يحتمل فيه بلحاظ خصوصياته الوجوب</w:t>
      </w:r>
      <w:r w:rsidR="00C672DD" w:rsidRPr="00307CCE">
        <w:rPr>
          <w:rFonts w:cs="Taher"/>
          <w:shd w:val="clear" w:color="auto" w:fill="FEFFFE"/>
          <w:rtl/>
        </w:rPr>
        <w:t xml:space="preserve"> ولم يتوقع فيه بيان حکم الشيء من حيث اللزوم وعدمه</w:t>
      </w:r>
      <w:r w:rsidRPr="00307CCE">
        <w:rPr>
          <w:rFonts w:cs="Taher"/>
          <w:shd w:val="clear" w:color="auto" w:fill="FEFFFE"/>
          <w:rtl/>
        </w:rPr>
        <w:t xml:space="preserve"> فلا يك</w:t>
      </w:r>
      <w:r w:rsidRPr="00307CCE">
        <w:rPr>
          <w:rFonts w:cs="Taher"/>
          <w:shd w:val="clear" w:color="auto" w:fill="FEFFFE"/>
          <w:rtl/>
        </w:rPr>
        <w:t>ون للأمر ظهور</w:t>
      </w:r>
      <w:r w:rsidRPr="00307CCE">
        <w:rPr>
          <w:rFonts w:cs="Taher"/>
          <w:shd w:val="clear" w:color="auto" w:fill="FEFFFE"/>
          <w:rtl/>
        </w:rPr>
        <w:t xml:space="preserve"> في الوجوب بخلاف ما إذا ورد في مورد كان المتوقع فيه أو المحتمل فيه الوجوب فلا يمنع مجرد وروده في مقام الحظر عن الأخذ بظهوره في الوجوب وما نحن فيه من هذا القبيل</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الثانية</w:t>
      </w:r>
      <w:r w:rsidRPr="00307CCE">
        <w:rPr>
          <w:rFonts w:ascii="Al Nile" w:hAnsi="Al Nile" w:cs="Taher"/>
          <w:shd w:val="clear" w:color="auto" w:fill="FEFFFE"/>
          <w:rtl/>
        </w:rPr>
        <w:t xml:space="preserve">: </w:t>
      </w:r>
      <w:r w:rsidRPr="00307CCE">
        <w:rPr>
          <w:rFonts w:cs="Taher"/>
          <w:shd w:val="clear" w:color="auto" w:fill="FEFFFE"/>
          <w:rtl/>
        </w:rPr>
        <w:t>ما ذكر في كتاب قاعدة الفراغ والتجاوز من أنا لو سلمنا ظهور الأمر في الوج</w:t>
      </w:r>
      <w:r w:rsidRPr="00307CCE">
        <w:rPr>
          <w:rFonts w:cs="Taher"/>
          <w:shd w:val="clear" w:color="auto" w:fill="FEFFFE"/>
          <w:rtl/>
        </w:rPr>
        <w:t>وب وأن المقام ليس من موارد توهم الحظر لكن التمسك بظهور الأمر في ال</w:t>
      </w:r>
      <w:r w:rsidR="00220F39" w:rsidRPr="00307CCE">
        <w:rPr>
          <w:rFonts w:cs="Taher"/>
          <w:shd w:val="clear" w:color="auto" w:fill="FEFFFE"/>
          <w:rtl/>
        </w:rPr>
        <w:t>و</w:t>
      </w:r>
      <w:r w:rsidRPr="00307CCE">
        <w:rPr>
          <w:rFonts w:cs="Taher"/>
          <w:shd w:val="clear" w:color="auto" w:fill="FEFFFE"/>
          <w:rtl/>
        </w:rPr>
        <w:t xml:space="preserve">جوب يختص بما إذا كان في مقام بيان التكاليف والأمر الوارد </w:t>
      </w:r>
      <w:r w:rsidRPr="00307CCE">
        <w:rPr>
          <w:rFonts w:cs="Taher"/>
          <w:shd w:val="clear" w:color="auto" w:fill="FEFFFE"/>
          <w:rtl/>
        </w:rPr>
        <w:lastRenderedPageBreak/>
        <w:t xml:space="preserve">في محل الكلام ليس تكلفياً بل إرشادي بمعنى أن </w:t>
      </w:r>
      <w:r w:rsidR="00220F39" w:rsidRPr="00307CCE">
        <w:rPr>
          <w:rFonts w:cs="Taher"/>
          <w:shd w:val="clear" w:color="auto" w:fill="FEFFFE"/>
          <w:rtl/>
        </w:rPr>
        <w:t xml:space="preserve">صحة </w:t>
      </w:r>
      <w:r w:rsidRPr="00307CCE">
        <w:rPr>
          <w:rFonts w:cs="Taher"/>
          <w:shd w:val="clear" w:color="auto" w:fill="FEFFFE"/>
          <w:rtl/>
        </w:rPr>
        <w:t>العمل لا إشكال فيه من ناحية المشكوك</w:t>
      </w:r>
      <w:r w:rsidR="00220F39" w:rsidRPr="00307CCE">
        <w:rPr>
          <w:rFonts w:ascii="Al Nile" w:hAnsi="Al Nile" w:cs="Taher"/>
          <w:shd w:val="clear" w:color="auto" w:fill="FEFFFE"/>
          <w:rtl/>
        </w:rPr>
        <w:t xml:space="preserve"> فلاموضوع </w:t>
      </w:r>
      <w:r w:rsidR="00220F39" w:rsidRPr="00307CCE">
        <w:rPr>
          <w:rFonts w:ascii="Noor_Nazli" w:hAnsi="Noor_Nazli" w:cs="Taher"/>
          <w:color w:val="000000" w:themeColor="text1"/>
          <w:rtl/>
        </w:rPr>
        <w:t>لاستظهار الوجوب في المقام اصلا</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وفيه أن مجرد إرشادية الأمر لا ينافي ظهوره في التعين</w:t>
      </w:r>
      <w:r w:rsidRPr="00307CCE">
        <w:rPr>
          <w:rFonts w:cs="Taher"/>
          <w:shd w:val="clear" w:color="auto" w:fill="FEFFFE"/>
          <w:rtl/>
        </w:rPr>
        <w:t xml:space="preserve"> والعزيمة </w:t>
      </w:r>
      <w:r w:rsidR="00220F39" w:rsidRPr="00307CCE">
        <w:rPr>
          <w:rFonts w:cs="Taher"/>
          <w:shd w:val="clear" w:color="auto" w:fill="FEFFFE"/>
          <w:rtl/>
        </w:rPr>
        <w:t xml:space="preserve">بل </w:t>
      </w:r>
      <w:r w:rsidRPr="00307CCE">
        <w:rPr>
          <w:rFonts w:cs="Taher"/>
          <w:shd w:val="clear" w:color="auto" w:fill="FEFFFE"/>
          <w:rtl/>
        </w:rPr>
        <w:t xml:space="preserve">كما في الأوامر بالأجزاء والشرائط </w:t>
      </w:r>
      <w:r w:rsidR="00220F39" w:rsidRPr="00307CCE">
        <w:rPr>
          <w:rFonts w:cs="Taher"/>
          <w:shd w:val="clear" w:color="auto" w:fill="FEFFFE"/>
          <w:rtl/>
        </w:rPr>
        <w:t xml:space="preserve">يرشد الامر الی تقوم المرکب وتقيده بما امربه کجزء اوشرط </w:t>
      </w:r>
      <w:r w:rsidRPr="00307CCE">
        <w:rPr>
          <w:rFonts w:cs="Taher"/>
          <w:shd w:val="clear" w:color="auto" w:fill="FEFFFE"/>
          <w:rtl/>
        </w:rPr>
        <w:t xml:space="preserve">ففي المقام </w:t>
      </w:r>
      <w:r w:rsidR="00220F39" w:rsidRPr="00307CCE">
        <w:rPr>
          <w:rFonts w:cs="Taher"/>
          <w:shd w:val="clear" w:color="auto" w:fill="FEFFFE"/>
          <w:rtl/>
        </w:rPr>
        <w:t xml:space="preserve">ايضاً </w:t>
      </w:r>
      <w:r w:rsidRPr="00307CCE">
        <w:rPr>
          <w:rFonts w:cs="Taher"/>
          <w:shd w:val="clear" w:color="auto" w:fill="FEFFFE"/>
          <w:rtl/>
        </w:rPr>
        <w:t>يرشد الأمر إلى أن كيفية الامتثال فيما شك في شيء قبل مضي محله أن يؤتى به وفيما شك بعد مضي محله أن يمضى ويؤتى بباقي الأجزاء وهذا لا ينافي الظهور في التعين</w:t>
      </w:r>
      <w:r w:rsidRPr="00307CCE">
        <w:rPr>
          <w:rFonts w:ascii="Al Nile" w:hAnsi="Al Nile" w:cs="Taher"/>
          <w:shd w:val="clear" w:color="auto" w:fill="FEFFFE"/>
          <w:rtl/>
        </w:rPr>
        <w:t xml:space="preserve">. </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الثالثة</w:t>
      </w:r>
      <w:r w:rsidRPr="00307CCE">
        <w:rPr>
          <w:rFonts w:ascii="Al Nile" w:hAnsi="Al Nile" w:cs="Taher"/>
          <w:shd w:val="clear" w:color="auto" w:fill="FEFFFE"/>
          <w:rtl/>
        </w:rPr>
        <w:t xml:space="preserve">: </w:t>
      </w:r>
      <w:r w:rsidRPr="00307CCE">
        <w:rPr>
          <w:rFonts w:cs="Taher"/>
          <w:shd w:val="clear" w:color="auto" w:fill="FEFFFE"/>
          <w:rtl/>
        </w:rPr>
        <w:t>ما نقله صاحب الجواهر قدس سره عن المتقد</w:t>
      </w:r>
      <w:r w:rsidRPr="00307CCE">
        <w:rPr>
          <w:rFonts w:cs="Taher"/>
          <w:shd w:val="clear" w:color="auto" w:fill="FEFFFE"/>
          <w:rtl/>
        </w:rPr>
        <w:t xml:space="preserve">مين وأجاب عنه من أن غاية ما </w:t>
      </w:r>
      <w:r w:rsidR="00220F39" w:rsidRPr="00307CCE">
        <w:rPr>
          <w:rFonts w:cs="Taher"/>
          <w:shd w:val="clear" w:color="auto" w:fill="FEFFFE"/>
          <w:rtl/>
        </w:rPr>
        <w:t xml:space="preserve">في المقام ان </w:t>
      </w:r>
      <w:r w:rsidRPr="00307CCE">
        <w:rPr>
          <w:rFonts w:cs="Taher"/>
          <w:shd w:val="clear" w:color="auto" w:fill="FEFFFE"/>
          <w:rtl/>
        </w:rPr>
        <w:t>يدل الأمر على لزوم المضي وبالملازمة على حرمة التدارك تكليفاً ولا يدل على فساد الصلاة وضعاً</w:t>
      </w:r>
      <w:r w:rsidRPr="00307CCE">
        <w:rPr>
          <w:rFonts w:ascii="Al Nile" w:hAnsi="Al Nile" w:cs="Taher"/>
          <w:shd w:val="clear" w:color="auto" w:fill="FEFFFE"/>
          <w:rtl/>
        </w:rPr>
        <w:t>.</w:t>
      </w:r>
      <w:r w:rsidRPr="00307CCE">
        <w:rPr>
          <w:rFonts w:ascii="Al Nile" w:eastAsia="Al Nile" w:hAnsi="Al Nile" w:cs="Taher"/>
          <w:shd w:val="clear" w:color="auto" w:fill="FEFFFE"/>
          <w:vertAlign w:val="superscript"/>
        </w:rPr>
        <w:footnoteReference w:id="2"/>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وأجاب عنها صاحب الجواهر قدس سره بأن المقرر في الأصول أن النهي عن العبادة مقتضٍ للفساد فمع تسليم النهي عن التدارك لا مناص عن القول بالفس</w:t>
      </w:r>
      <w:r w:rsidRPr="00307CCE">
        <w:rPr>
          <w:rFonts w:cs="Taher"/>
          <w:shd w:val="clear" w:color="auto" w:fill="FEFFFE"/>
          <w:rtl/>
        </w:rPr>
        <w:t>اد</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 xml:space="preserve">ولكن هذا الجواب لا يكفي لأن النهي إنما يقتضي فساد متعلقه والكلام في فساد مجموع الصلاة إلا أن يقصد ما سيأتي في الوجه الثاني من أن تدارك المشكوك بعد أن تعلق به النهي </w:t>
      </w:r>
      <w:r w:rsidRPr="00307CCE">
        <w:rPr>
          <w:rFonts w:cs="Taher"/>
          <w:shd w:val="clear" w:color="auto" w:fill="FEFFFE"/>
          <w:rtl/>
        </w:rPr>
        <w:t>يكون مصداقاً للزيادة العمدية المبطلة للصلاة لأن كل</w:t>
      </w:r>
      <w:r w:rsidR="00220F39" w:rsidRPr="00307CCE">
        <w:rPr>
          <w:rFonts w:cs="Taher"/>
          <w:shd w:val="clear" w:color="auto" w:fill="FEFFFE"/>
          <w:rtl/>
        </w:rPr>
        <w:t xml:space="preserve"> </w:t>
      </w:r>
      <w:r w:rsidRPr="00307CCE">
        <w:rPr>
          <w:rFonts w:cs="Taher"/>
          <w:shd w:val="clear" w:color="auto" w:fill="FEFFFE"/>
          <w:rtl/>
        </w:rPr>
        <w:t>ما</w:t>
      </w:r>
      <w:r w:rsidR="00220F39" w:rsidRPr="00307CCE">
        <w:rPr>
          <w:rFonts w:cs="Taher"/>
          <w:shd w:val="clear" w:color="auto" w:fill="FEFFFE"/>
          <w:rtl/>
        </w:rPr>
        <w:t xml:space="preserve"> اتي به بقصدالجزئية</w:t>
      </w:r>
      <w:r w:rsidRPr="00307CCE">
        <w:rPr>
          <w:rFonts w:cs="Taher"/>
          <w:shd w:val="clear" w:color="auto" w:fill="FEFFFE"/>
          <w:rtl/>
        </w:rPr>
        <w:t xml:space="preserve"> </w:t>
      </w:r>
      <w:r w:rsidR="00220F39" w:rsidRPr="00307CCE">
        <w:rPr>
          <w:rFonts w:cs="Taher"/>
          <w:shd w:val="clear" w:color="auto" w:fill="FEFFFE"/>
          <w:rtl/>
        </w:rPr>
        <w:t>و</w:t>
      </w:r>
      <w:r w:rsidRPr="00307CCE">
        <w:rPr>
          <w:rFonts w:cs="Taher"/>
          <w:shd w:val="clear" w:color="auto" w:fill="FEFFFE"/>
          <w:rtl/>
        </w:rPr>
        <w:t>لم يكن مأموراً به ف</w:t>
      </w:r>
      <w:r w:rsidR="00220F39" w:rsidRPr="00307CCE">
        <w:rPr>
          <w:rFonts w:cs="Taher"/>
          <w:shd w:val="clear" w:color="auto" w:fill="FEFFFE"/>
          <w:rtl/>
        </w:rPr>
        <w:t xml:space="preserve">هو </w:t>
      </w:r>
      <w:r w:rsidRPr="00307CCE">
        <w:rPr>
          <w:rFonts w:cs="Taher"/>
          <w:shd w:val="clear" w:color="auto" w:fill="FEFFFE"/>
          <w:rtl/>
        </w:rPr>
        <w:t>مصداق للزيادة و</w:t>
      </w:r>
      <w:r w:rsidR="00220F39" w:rsidRPr="00307CCE">
        <w:rPr>
          <w:rFonts w:cs="Taher"/>
          <w:shd w:val="clear" w:color="auto" w:fill="FEFFFE"/>
          <w:rtl/>
        </w:rPr>
        <w:t xml:space="preserve">من المعلوم ان </w:t>
      </w:r>
      <w:r w:rsidRPr="00307CCE">
        <w:rPr>
          <w:rFonts w:cs="Taher"/>
          <w:shd w:val="clear" w:color="auto" w:fill="FEFFFE"/>
          <w:rtl/>
        </w:rPr>
        <w:t>مع تعلق النهي لا يكون مأموراً به</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فالوجه الأول تام لم يرد عليه شيء من المناقشات المذكورة</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الوجه الثاني</w:t>
      </w:r>
      <w:r w:rsidRPr="00307CCE">
        <w:rPr>
          <w:rFonts w:ascii="Al Nile" w:hAnsi="Al Nile" w:cs="Taher"/>
          <w:shd w:val="clear" w:color="auto" w:fill="FEFFFE"/>
          <w:rtl/>
        </w:rPr>
        <w:t xml:space="preserve">: - </w:t>
      </w:r>
      <w:r w:rsidRPr="00307CCE">
        <w:rPr>
          <w:rFonts w:cs="Taher"/>
          <w:shd w:val="clear" w:color="auto" w:fill="FEFFFE"/>
          <w:rtl/>
        </w:rPr>
        <w:t xml:space="preserve">مع غمض العين عن ظهور الأمر في اللزوم والوجوب </w:t>
      </w:r>
      <w:r w:rsidRPr="00307CCE">
        <w:rPr>
          <w:rFonts w:ascii="Al Nile" w:hAnsi="Al Nile" w:cs="Taher"/>
          <w:shd w:val="clear" w:color="auto" w:fill="FEFFFE"/>
          <w:rtl/>
        </w:rPr>
        <w:t xml:space="preserve">- </w:t>
      </w:r>
      <w:r w:rsidRPr="00307CCE">
        <w:rPr>
          <w:rFonts w:cs="Taher"/>
          <w:shd w:val="clear" w:color="auto" w:fill="FEFFFE"/>
          <w:rtl/>
        </w:rPr>
        <w:t>أن الشارع تعبد</w:t>
      </w:r>
      <w:r w:rsidR="00220F39" w:rsidRPr="00307CCE">
        <w:rPr>
          <w:rFonts w:cs="Taher"/>
          <w:shd w:val="clear" w:color="auto" w:fill="FEFFFE"/>
          <w:rtl/>
        </w:rPr>
        <w:t>نا</w:t>
      </w:r>
      <w:r w:rsidRPr="00307CCE">
        <w:rPr>
          <w:rFonts w:cs="Taher"/>
          <w:shd w:val="clear" w:color="auto" w:fill="FEFFFE"/>
          <w:rtl/>
        </w:rPr>
        <w:t xml:space="preserve"> في مورد الشك في الوجود الذي هو مورد قاعدة التجاوز بتحقق المشكوك </w:t>
      </w:r>
      <w:r w:rsidR="00220F39" w:rsidRPr="00307CCE">
        <w:rPr>
          <w:rFonts w:cs="Taher"/>
          <w:shd w:val="clear" w:color="auto" w:fill="FEFFFE"/>
          <w:rtl/>
        </w:rPr>
        <w:t xml:space="preserve">کما انه تعبدنا في موردالشک في الصحة الذي </w:t>
      </w:r>
      <w:r w:rsidR="00220F39" w:rsidRPr="00307CCE">
        <w:rPr>
          <w:rFonts w:cs="Taher"/>
          <w:shd w:val="clear" w:color="auto" w:fill="FEFFFE"/>
          <w:rtl/>
        </w:rPr>
        <w:lastRenderedPageBreak/>
        <w:t xml:space="preserve">هوموردقاعدة الفراغ بصحة المأتي به </w:t>
      </w:r>
      <w:r w:rsidRPr="00307CCE">
        <w:rPr>
          <w:rFonts w:cs="Taher"/>
          <w:shd w:val="clear" w:color="auto" w:fill="FEFFFE"/>
          <w:rtl/>
        </w:rPr>
        <w:t xml:space="preserve">وبعد التعبد بتحققه </w:t>
      </w:r>
      <w:r w:rsidRPr="00307CCE">
        <w:rPr>
          <w:rFonts w:cs="Taher"/>
          <w:shd w:val="clear" w:color="auto" w:fill="FEFFFE"/>
          <w:rtl/>
        </w:rPr>
        <w:t>فالإتيان به ثانياً مصداق للزيادة العمدية في الصلاة التي توجب البطلان</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نوقش هذا الوجه بمناقشات</w:t>
      </w:r>
      <w:r w:rsidRPr="00307CCE">
        <w:rPr>
          <w:rFonts w:ascii="Al Nile" w:hAnsi="Al Nile" w:cs="Taher"/>
          <w:shd w:val="clear" w:color="auto" w:fill="FEFFFE"/>
          <w:rtl/>
        </w:rPr>
        <w:t>:</w:t>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الأولى</w:t>
      </w:r>
      <w:r w:rsidRPr="00307CCE">
        <w:rPr>
          <w:rFonts w:ascii="Al Nile" w:hAnsi="Al Nile" w:cs="Taher"/>
          <w:shd w:val="clear" w:color="auto" w:fill="FEFFFE"/>
          <w:rtl/>
        </w:rPr>
        <w:t xml:space="preserve">: </w:t>
      </w:r>
      <w:r w:rsidRPr="00307CCE">
        <w:rPr>
          <w:rFonts w:cs="Taher"/>
          <w:shd w:val="clear" w:color="auto" w:fill="FEFFFE"/>
          <w:rtl/>
        </w:rPr>
        <w:t>ما ذكره السيد البجنوردي قدس سره وغيره من أن الزيادة العمدية إنما توجب البطلان إذا أتى بها المكلف بقصد الجزئية جزماً دون ما إذا أتى بها بقصد الاحتياط</w:t>
      </w:r>
      <w:r w:rsidRPr="00307CCE">
        <w:rPr>
          <w:rFonts w:ascii="Al Nile" w:hAnsi="Al Nile" w:cs="Taher"/>
          <w:shd w:val="clear" w:color="auto" w:fill="FEFFFE"/>
          <w:rtl/>
        </w:rPr>
        <w:t>.</w:t>
      </w:r>
      <w:r w:rsidRPr="00307CCE">
        <w:rPr>
          <w:rFonts w:ascii="Al Nile" w:eastAsia="Al Nile" w:hAnsi="Al Nile" w:cs="Taher"/>
          <w:shd w:val="clear" w:color="auto" w:fill="FEFFFE"/>
          <w:vertAlign w:val="superscript"/>
        </w:rPr>
        <w:footnoteReference w:id="3"/>
      </w:r>
    </w:p>
    <w:p w:rsidR="00E00D12" w:rsidRPr="00307CCE" w:rsidRDefault="00006629" w:rsidP="00C26855">
      <w:pPr>
        <w:pStyle w:val="a4"/>
        <w:jc w:val="highKashida"/>
        <w:rPr>
          <w:rFonts w:cs="Taher" w:hint="default"/>
          <w:shd w:val="clear" w:color="auto" w:fill="FEFFFE"/>
          <w:rtl/>
        </w:rPr>
      </w:pPr>
      <w:r w:rsidRPr="00307CCE">
        <w:rPr>
          <w:rFonts w:cs="Taher"/>
          <w:shd w:val="clear" w:color="auto" w:fill="FEFFFE"/>
          <w:rtl/>
        </w:rPr>
        <w:t>وف</w:t>
      </w:r>
      <w:r w:rsidRPr="00307CCE">
        <w:rPr>
          <w:rFonts w:cs="Taher"/>
          <w:shd w:val="clear" w:color="auto" w:fill="FEFFFE"/>
          <w:rtl/>
        </w:rPr>
        <w:t>يه أنه لابد من التفصيل لأن المقرر في بحث الزيادة في الصلاة وبحث الأقل والأكثر أن بعض الأجزاء توجب زيادته</w:t>
      </w:r>
      <w:r w:rsidR="00307CCE" w:rsidRPr="00307CCE">
        <w:rPr>
          <w:rFonts w:cs="Taher"/>
          <w:shd w:val="clear" w:color="auto" w:fill="FEFFFE"/>
          <w:rtl/>
        </w:rPr>
        <w:t xml:space="preserve"> بطلان الصلاة</w:t>
      </w:r>
      <w:r w:rsidRPr="00307CCE">
        <w:rPr>
          <w:rFonts w:cs="Taher"/>
          <w:shd w:val="clear" w:color="auto" w:fill="FEFFFE"/>
          <w:rtl/>
        </w:rPr>
        <w:t xml:space="preserve"> و</w:t>
      </w:r>
      <w:r w:rsidR="00307CCE" w:rsidRPr="00307CCE">
        <w:rPr>
          <w:rFonts w:cs="Taher"/>
          <w:shd w:val="clear" w:color="auto" w:fill="FEFFFE"/>
          <w:rtl/>
        </w:rPr>
        <w:t xml:space="preserve"> ان لم يکن</w:t>
      </w:r>
      <w:r w:rsidRPr="00307CCE">
        <w:rPr>
          <w:rFonts w:cs="Taher"/>
          <w:shd w:val="clear" w:color="auto" w:fill="FEFFFE"/>
          <w:rtl/>
        </w:rPr>
        <w:t xml:space="preserve"> ب</w:t>
      </w:r>
      <w:r w:rsidRPr="00307CCE">
        <w:rPr>
          <w:rFonts w:cs="Taher"/>
          <w:shd w:val="clear" w:color="auto" w:fill="FEFFFE"/>
          <w:rtl/>
        </w:rPr>
        <w:t xml:space="preserve">قصد الجزئية </w:t>
      </w:r>
      <w:r w:rsidRPr="00307CCE">
        <w:rPr>
          <w:rFonts w:cs="Taher"/>
          <w:shd w:val="clear" w:color="auto" w:fill="FEFFFE"/>
          <w:rtl/>
        </w:rPr>
        <w:t>كما ورد المنع عن قراءة العزيمة في الصلاة معللا بأن</w:t>
      </w:r>
      <w:r w:rsidR="00307CCE" w:rsidRPr="00307CCE">
        <w:rPr>
          <w:rFonts w:cs="Taher"/>
          <w:shd w:val="clear" w:color="auto" w:fill="FEFFFE"/>
          <w:rtl/>
        </w:rPr>
        <w:t xml:space="preserve"> السجدة</w:t>
      </w:r>
      <w:r w:rsidRPr="00307CCE">
        <w:rPr>
          <w:rFonts w:cs="Taher"/>
          <w:shd w:val="clear" w:color="auto" w:fill="FEFFFE"/>
          <w:rtl/>
        </w:rPr>
        <w:t xml:space="preserve"> زيادة في المكتوبة، </w:t>
      </w:r>
      <w:r w:rsidR="00307CCE" w:rsidRPr="00307CCE">
        <w:rPr>
          <w:rFonts w:cs="Taher"/>
          <w:shd w:val="clear" w:color="auto" w:fill="FEFFFE"/>
          <w:rtl/>
        </w:rPr>
        <w:t>مع ا</w:t>
      </w:r>
      <w:r w:rsidRPr="00307CCE">
        <w:rPr>
          <w:rFonts w:cs="Taher"/>
          <w:shd w:val="clear" w:color="auto" w:fill="FEFFFE"/>
          <w:rtl/>
        </w:rPr>
        <w:t>ن سجود التلاوة ل</w:t>
      </w:r>
      <w:r w:rsidR="00307CCE" w:rsidRPr="00307CCE">
        <w:rPr>
          <w:rFonts w:cs="Taher"/>
          <w:shd w:val="clear" w:color="auto" w:fill="FEFFFE"/>
          <w:rtl/>
        </w:rPr>
        <w:t xml:space="preserve">ايؤتی به </w:t>
      </w:r>
      <w:r w:rsidRPr="00307CCE">
        <w:rPr>
          <w:rFonts w:cs="Taher"/>
          <w:shd w:val="clear" w:color="auto" w:fill="FEFFFE"/>
          <w:rtl/>
        </w:rPr>
        <w:t>بقصد الجزئية ومع ذلك عد</w:t>
      </w:r>
      <w:r w:rsidRPr="00307CCE">
        <w:rPr>
          <w:rFonts w:cs="Taher"/>
          <w:shd w:val="clear" w:color="auto" w:fill="FEFFFE"/>
          <w:rtl/>
        </w:rPr>
        <w:t>ّ من الزيادة وألحق بالسجود الركوع بالأولوية</w:t>
      </w:r>
      <w:r w:rsidRPr="00307CCE">
        <w:rPr>
          <w:rFonts w:ascii="Al Nile" w:hAnsi="Al Nile" w:cs="Taher"/>
          <w:shd w:val="clear" w:color="auto" w:fill="FEFFFE"/>
          <w:rtl/>
        </w:rPr>
        <w:t>.</w:t>
      </w:r>
    </w:p>
    <w:p w:rsidR="00E00D12" w:rsidRPr="00307CCE" w:rsidRDefault="00006629" w:rsidP="00C26855">
      <w:pPr>
        <w:pStyle w:val="a6"/>
        <w:bidi/>
        <w:jc w:val="highKashida"/>
        <w:rPr>
          <w:rFonts w:cs="Taher"/>
          <w:sz w:val="36"/>
          <w:szCs w:val="36"/>
          <w:rtl/>
        </w:rPr>
      </w:pPr>
      <w:r w:rsidRPr="00307CCE">
        <w:rPr>
          <w:rFonts w:ascii="Arial Unicode MS" w:eastAsia="Arial Unicode MS" w:hAnsi="Arial Unicode MS" w:cs="Taher" w:hint="cs"/>
          <w:sz w:val="36"/>
          <w:szCs w:val="36"/>
          <w:shd w:val="clear" w:color="auto" w:fill="FEFFFE"/>
          <w:rtl/>
          <w:lang w:val="ar-SA" w:bidi="ar-SA"/>
        </w:rPr>
        <w:t>الثانية</w:t>
      </w:r>
      <w:r w:rsidRPr="00307CCE">
        <w:rPr>
          <w:rFonts w:ascii="Al Nile" w:hAnsi="Al Nile" w:cs="Taher"/>
          <w:sz w:val="36"/>
          <w:szCs w:val="36"/>
          <w:shd w:val="clear" w:color="auto" w:fill="FEFFFE"/>
          <w:rtl/>
          <w:lang w:val="ar-SA" w:bidi="ar-SA"/>
        </w:rPr>
        <w:t xml:space="preserve">: </w:t>
      </w:r>
      <w:r w:rsidRPr="00307CCE">
        <w:rPr>
          <w:rFonts w:ascii="Arial Unicode MS" w:eastAsia="Arial Unicode MS" w:hAnsi="Arial Unicode MS" w:cs="Taher" w:hint="cs"/>
          <w:sz w:val="36"/>
          <w:szCs w:val="36"/>
          <w:shd w:val="clear" w:color="auto" w:fill="FEFFFE"/>
          <w:rtl/>
          <w:lang w:val="ar-SA" w:bidi="ar-SA"/>
        </w:rPr>
        <w:t>أن هذا الدليل أخص من المدعى</w:t>
      </w:r>
      <w:r w:rsidR="00307CCE" w:rsidRPr="00307CCE">
        <w:rPr>
          <w:rFonts w:ascii="Noor_Nazli" w:hAnsi="Noor_Nazli" w:cs="Taher" w:hint="cs"/>
          <w:color w:val="000000" w:themeColor="text1"/>
          <w:sz w:val="36"/>
          <w:szCs w:val="36"/>
          <w:rtl/>
        </w:rPr>
        <w:t xml:space="preserve"> ل</w:t>
      </w:r>
      <w:r w:rsidR="00307CCE" w:rsidRPr="00307CCE">
        <w:rPr>
          <w:rFonts w:ascii="Noor_Nazli" w:hAnsi="Noor_Nazli" w:cs="Taher" w:hint="cs"/>
          <w:color w:val="000000" w:themeColor="text1"/>
          <w:sz w:val="36"/>
          <w:szCs w:val="36"/>
          <w:rtl/>
        </w:rPr>
        <w:t>انه لا يتم في الاجزاء التي يتقوم صدق زيادتها بإتيانها بقصد الجزئية كالقراءة و التشهد و نحو ذلك، إذ بالإتيان بها رجاء لا تصدق الزيادة لعدم قصد الجزئية.نعم</w:t>
      </w:r>
      <w:r w:rsidR="00307CCE" w:rsidRPr="00307CCE">
        <w:rPr>
          <w:rFonts w:ascii="Noor_Nazli" w:hAnsi="Noor_Nazli" w:cs="Taher" w:hint="cs"/>
          <w:color w:val="000000" w:themeColor="text1"/>
          <w:sz w:val="36"/>
          <w:szCs w:val="36"/>
          <w:rtl/>
        </w:rPr>
        <w:t xml:space="preserve"> يتم</w:t>
      </w:r>
      <w:r w:rsidR="00307CCE" w:rsidRPr="00307CCE">
        <w:rPr>
          <w:rFonts w:ascii="Noor_Nazli" w:hAnsi="Noor_Nazli" w:cs="Taher" w:hint="cs"/>
          <w:color w:val="000000" w:themeColor="text1"/>
          <w:sz w:val="36"/>
          <w:szCs w:val="36"/>
          <w:rtl/>
        </w:rPr>
        <w:t xml:space="preserve"> في مثل السجود و الركوع </w:t>
      </w:r>
      <w:r w:rsidR="00307CCE" w:rsidRPr="00307CCE">
        <w:rPr>
          <w:rFonts w:ascii="Arial Unicode MS" w:eastAsia="Arial Unicode MS" w:hAnsi="Arial Unicode MS" w:cs="Taher" w:hint="cs"/>
          <w:sz w:val="36"/>
          <w:szCs w:val="36"/>
          <w:shd w:val="clear" w:color="auto" w:fill="FEFFFE"/>
          <w:rtl/>
          <w:lang w:val="ar-SA" w:bidi="ar-SA"/>
        </w:rPr>
        <w:t xml:space="preserve">مع ان </w:t>
      </w:r>
      <w:r w:rsidRPr="00307CCE">
        <w:rPr>
          <w:rFonts w:ascii="Arial Unicode MS" w:eastAsia="Arial Unicode MS" w:hAnsi="Arial Unicode MS" w:cs="Taher" w:hint="cs"/>
          <w:sz w:val="36"/>
          <w:szCs w:val="36"/>
          <w:shd w:val="clear" w:color="auto" w:fill="FEFFFE"/>
          <w:rtl/>
          <w:lang w:val="ar-SA" w:bidi="ar-SA"/>
        </w:rPr>
        <w:t xml:space="preserve">الكلام ليس في خصوص الصلاة بل يعم جميع المركبات بل غير المركبات أيضاً </w:t>
      </w:r>
      <w:r w:rsidR="00C26855">
        <w:rPr>
          <w:rFonts w:ascii="Arial Unicode MS" w:eastAsia="Arial Unicode MS" w:hAnsi="Arial Unicode MS" w:cs="Taher" w:hint="cs"/>
          <w:sz w:val="36"/>
          <w:szCs w:val="36"/>
          <w:shd w:val="clear" w:color="auto" w:fill="FEFFFE"/>
          <w:rtl/>
          <w:lang w:val="ar-SA" w:bidi="ar-SA"/>
        </w:rPr>
        <w:t>_</w:t>
      </w:r>
      <w:r w:rsidRPr="00307CCE">
        <w:rPr>
          <w:rFonts w:ascii="Arial Unicode MS" w:eastAsia="Arial Unicode MS" w:hAnsi="Arial Unicode MS" w:cs="Taher" w:hint="cs"/>
          <w:sz w:val="36"/>
          <w:szCs w:val="36"/>
          <w:shd w:val="clear" w:color="auto" w:fill="FEFFFE"/>
          <w:rtl/>
          <w:lang w:val="ar-SA" w:bidi="ar-SA"/>
        </w:rPr>
        <w:t>لما تقدم من عموم قاعد</w:t>
      </w:r>
      <w:r w:rsidR="00307CCE" w:rsidRPr="00307CCE">
        <w:rPr>
          <w:rFonts w:ascii="Arial Unicode MS" w:eastAsia="Arial Unicode MS" w:hAnsi="Arial Unicode MS" w:cs="Taher" w:hint="cs"/>
          <w:sz w:val="36"/>
          <w:szCs w:val="36"/>
          <w:shd w:val="clear" w:color="auto" w:fill="FEFFFE"/>
          <w:rtl/>
          <w:lang w:val="ar-SA" w:bidi="ar-SA"/>
        </w:rPr>
        <w:t>تي</w:t>
      </w:r>
      <w:r w:rsidRPr="00307CCE">
        <w:rPr>
          <w:rFonts w:ascii="Arial Unicode MS" w:eastAsia="Arial Unicode MS" w:hAnsi="Arial Unicode MS" w:cs="Taher" w:hint="cs"/>
          <w:sz w:val="36"/>
          <w:szCs w:val="36"/>
          <w:shd w:val="clear" w:color="auto" w:fill="FEFFFE"/>
          <w:rtl/>
          <w:lang w:val="ar-SA" w:bidi="ar-SA"/>
        </w:rPr>
        <w:t xml:space="preserve"> التجاوز و</w:t>
      </w:r>
      <w:r w:rsidR="00307CCE" w:rsidRPr="00307CCE">
        <w:rPr>
          <w:rFonts w:ascii="Arial Unicode MS" w:eastAsia="Arial Unicode MS" w:hAnsi="Arial Unicode MS" w:cs="Taher" w:hint="cs"/>
          <w:sz w:val="36"/>
          <w:szCs w:val="36"/>
          <w:shd w:val="clear" w:color="auto" w:fill="FEFFFE"/>
          <w:rtl/>
          <w:lang w:val="ar-SA" w:bidi="ar-SA"/>
        </w:rPr>
        <w:t xml:space="preserve"> الفراغ </w:t>
      </w:r>
      <w:r w:rsidR="00C26855">
        <w:rPr>
          <w:rFonts w:ascii="Arial Unicode MS" w:eastAsia="Arial Unicode MS" w:hAnsi="Arial Unicode MS" w:cs="Taher" w:hint="cs"/>
          <w:sz w:val="36"/>
          <w:szCs w:val="36"/>
          <w:shd w:val="clear" w:color="auto" w:fill="FEFFFE"/>
          <w:rtl/>
          <w:lang w:val="ar-SA" w:bidi="ar-SA"/>
        </w:rPr>
        <w:t>_</w:t>
      </w:r>
      <w:r w:rsidR="00307CCE" w:rsidRPr="00307CCE">
        <w:rPr>
          <w:rFonts w:ascii="Arial Unicode MS" w:eastAsia="Arial Unicode MS" w:hAnsi="Arial Unicode MS" w:cs="Taher" w:hint="cs"/>
          <w:sz w:val="36"/>
          <w:szCs w:val="36"/>
          <w:shd w:val="clear" w:color="auto" w:fill="FEFFFE"/>
          <w:rtl/>
          <w:lang w:val="ar-SA" w:bidi="ar-SA"/>
        </w:rPr>
        <w:t xml:space="preserve"> و</w:t>
      </w:r>
      <w:r w:rsidRPr="00307CCE">
        <w:rPr>
          <w:rFonts w:ascii="Arial Unicode MS" w:eastAsia="Arial Unicode MS" w:hAnsi="Arial Unicode MS" w:cs="Taher" w:hint="cs"/>
          <w:sz w:val="36"/>
          <w:szCs w:val="36"/>
          <w:shd w:val="clear" w:color="auto" w:fill="FEFFFE"/>
          <w:rtl/>
          <w:lang w:val="ar-SA" w:bidi="ar-SA"/>
        </w:rPr>
        <w:t>الدليل ال</w:t>
      </w:r>
      <w:r w:rsidR="00307CCE" w:rsidRPr="00307CCE">
        <w:rPr>
          <w:rFonts w:ascii="Arial Unicode MS" w:eastAsia="Arial Unicode MS" w:hAnsi="Arial Unicode MS" w:cs="Taher" w:hint="cs"/>
          <w:sz w:val="36"/>
          <w:szCs w:val="36"/>
          <w:shd w:val="clear" w:color="auto" w:fill="FEFFFE"/>
          <w:rtl/>
          <w:lang w:val="ar-SA" w:bidi="ar-SA"/>
        </w:rPr>
        <w:t>دال علی مبطلية الزيادة انما</w:t>
      </w:r>
      <w:r w:rsidRPr="00307CCE">
        <w:rPr>
          <w:rFonts w:ascii="Arial Unicode MS" w:eastAsia="Arial Unicode MS" w:hAnsi="Arial Unicode MS" w:cs="Taher" w:hint="cs"/>
          <w:sz w:val="36"/>
          <w:szCs w:val="36"/>
          <w:shd w:val="clear" w:color="auto" w:fill="FEFFFE"/>
          <w:rtl/>
          <w:lang w:val="ar-SA" w:bidi="ar-SA"/>
        </w:rPr>
        <w:t xml:space="preserve"> ورد</w:t>
      </w:r>
      <w:r w:rsidRPr="00307CCE">
        <w:rPr>
          <w:rFonts w:ascii="Arial Unicode MS" w:eastAsia="Arial Unicode MS" w:hAnsi="Arial Unicode MS" w:cs="Taher" w:hint="cs"/>
          <w:sz w:val="36"/>
          <w:szCs w:val="36"/>
          <w:shd w:val="clear" w:color="auto" w:fill="FEFFFE"/>
          <w:rtl/>
          <w:lang w:val="ar-SA" w:bidi="ar-SA"/>
        </w:rPr>
        <w:t xml:space="preserve"> في خصوص الصلاة والطواف</w:t>
      </w:r>
      <w:r w:rsidR="00307CCE" w:rsidRPr="00307CCE">
        <w:rPr>
          <w:rFonts w:ascii="Al Nile" w:hAnsi="Al Nile" w:cs="Taher" w:hint="cs"/>
          <w:sz w:val="36"/>
          <w:szCs w:val="36"/>
          <w:shd w:val="clear" w:color="auto" w:fill="FEFFFE"/>
          <w:rtl/>
          <w:lang w:val="ar-SA" w:bidi="ar-SA"/>
        </w:rPr>
        <w:t xml:space="preserve"> وقدتقرر في مبحث الاقل والاکثر ان مقتضی الاصل العملي عدم مبطلية الزيادة </w:t>
      </w:r>
      <w:r w:rsidRPr="00307CCE">
        <w:rPr>
          <w:rFonts w:ascii="Al Nile" w:hAnsi="Al Nile" w:cs="Taher"/>
          <w:sz w:val="36"/>
          <w:szCs w:val="36"/>
          <w:shd w:val="clear" w:color="auto" w:fill="FEFFFE"/>
          <w:rtl/>
          <w:lang w:val="ar-SA" w:bidi="ar-SA"/>
        </w:rPr>
        <w:t>.</w:t>
      </w:r>
    </w:p>
    <w:sectPr w:rsidR="00E00D12" w:rsidRPr="00307CCE">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29" w:rsidRDefault="00006629">
      <w:r>
        <w:separator/>
      </w:r>
    </w:p>
  </w:endnote>
  <w:endnote w:type="continuationSeparator" w:id="0">
    <w:p w:rsidR="00006629" w:rsidRDefault="000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Bold">
    <w:altName w:val="Times New Roman"/>
    <w:panose1 w:val="00000000000000000000"/>
    <w:charset w:val="00"/>
    <w:family w:val="roman"/>
    <w:notTrueType/>
    <w:pitch w:val="default"/>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Noor_Nazli">
    <w:altName w:val="Courier New"/>
    <w:panose1 w:val="01000506000000020004"/>
    <w:charset w:val="00"/>
    <w:family w:val="auto"/>
    <w:pitch w:val="variable"/>
    <w:sig w:usb0="00000000"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29" w:rsidRDefault="00006629">
      <w:r>
        <w:separator/>
      </w:r>
    </w:p>
  </w:footnote>
  <w:footnote w:type="continuationSeparator" w:id="0">
    <w:p w:rsidR="00006629" w:rsidRDefault="00006629">
      <w:r>
        <w:continuationSeparator/>
      </w:r>
    </w:p>
  </w:footnote>
  <w:footnote w:type="continuationNotice" w:id="1">
    <w:p w:rsidR="00006629" w:rsidRDefault="00006629"/>
  </w:footnote>
  <w:footnote w:id="2">
    <w:p w:rsidR="00E00D12" w:rsidRDefault="00006629">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جواهر الكلام، ج١٢، ص٣٢٣</w:t>
      </w:r>
    </w:p>
  </w:footnote>
  <w:footnote w:id="3">
    <w:p w:rsidR="00E00D12" w:rsidRDefault="00006629">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القواعد ال</w:t>
      </w:r>
      <w:bookmarkStart w:id="0" w:name="_GoBack"/>
      <w:bookmarkEnd w:id="0"/>
      <w:r>
        <w:rPr>
          <w:rFonts w:ascii="Arial Unicode MS" w:eastAsia="Arial Unicode MS" w:hAnsi="Arial Unicode MS" w:cs="Arial Unicode MS" w:hint="cs"/>
          <w:rtl/>
          <w:lang w:val="ar-SA" w:bidi="ar-SA"/>
        </w:rPr>
        <w:t>فقهية، ج١، ص٣٥٣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3951"/>
      <w:docPartObj>
        <w:docPartGallery w:val="Page Numbers (Top of Page)"/>
        <w:docPartUnique/>
      </w:docPartObj>
    </w:sdtPr>
    <w:sdtContent>
      <w:p w:rsidR="00C26855" w:rsidRDefault="00C26855">
        <w:pPr>
          <w:pStyle w:val="a8"/>
        </w:pPr>
        <w:r>
          <w:fldChar w:fldCharType="begin"/>
        </w:r>
        <w:r>
          <w:instrText>PAGE   \* MERGEFORMAT</w:instrText>
        </w:r>
        <w:r>
          <w:fldChar w:fldCharType="separate"/>
        </w:r>
        <w:r w:rsidRPr="00C26855">
          <w:rPr>
            <w:noProof/>
            <w:lang w:val="fa-IR"/>
          </w:rPr>
          <w:t>3</w:t>
        </w:r>
        <w:r>
          <w:rPr>
            <w:noProof/>
          </w:rPr>
          <w:fldChar w:fldCharType="end"/>
        </w:r>
      </w:p>
    </w:sdtContent>
  </w:sdt>
  <w:p w:rsidR="00E00D12" w:rsidRDefault="00E00D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00D12"/>
    <w:rsid w:val="00006629"/>
    <w:rsid w:val="00220F39"/>
    <w:rsid w:val="00307CCE"/>
    <w:rsid w:val="00C26855"/>
    <w:rsid w:val="00C672DD"/>
    <w:rsid w:val="00E00D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paragraph" w:styleId="3">
    <w:name w:val="heading 3"/>
    <w:basedOn w:val="a"/>
    <w:next w:val="a"/>
    <w:link w:val="30"/>
    <w:uiPriority w:val="9"/>
    <w:unhideWhenUsed/>
    <w:qFormat/>
    <w:rsid w:val="00C672DD"/>
    <w:pPr>
      <w:keepNext/>
      <w:keepLines/>
      <w:pBdr>
        <w:top w:val="none" w:sz="0" w:space="0" w:color="auto"/>
        <w:left w:val="none" w:sz="0" w:space="0" w:color="auto"/>
        <w:bottom w:val="none" w:sz="0" w:space="0" w:color="auto"/>
        <w:right w:val="none" w:sz="0" w:space="0" w:color="auto"/>
        <w:between w:val="none" w:sz="0" w:space="0" w:color="auto"/>
        <w:bar w:val="none" w:sz="0" w:color="auto"/>
      </w:pBdr>
      <w:bidi/>
      <w:spacing w:before="200" w:line="276" w:lineRule="auto"/>
      <w:outlineLvl w:val="2"/>
    </w:pPr>
    <w:rPr>
      <w:rFonts w:asciiTheme="majorHAnsi" w:eastAsiaTheme="majorEastAsia" w:hAnsiTheme="majorHAnsi" w:cstheme="majorBidi"/>
      <w:b/>
      <w:bCs/>
      <w:color w:val="00A2FF" w:themeColor="accent1"/>
      <w:sz w:val="22"/>
      <w:szCs w:val="22"/>
      <w:bdr w:val="none" w:sz="0" w:space="0" w:color="auto"/>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customStyle="1" w:styleId="30">
    <w:name w:val="عنوان 3 نویسه"/>
    <w:basedOn w:val="a0"/>
    <w:link w:val="3"/>
    <w:uiPriority w:val="9"/>
    <w:rsid w:val="00C672DD"/>
    <w:rPr>
      <w:rFonts w:asciiTheme="majorHAnsi" w:eastAsiaTheme="majorEastAsia" w:hAnsiTheme="majorHAnsi" w:cstheme="majorBidi"/>
      <w:b/>
      <w:bCs/>
      <w:color w:val="00A2FF" w:themeColor="accent1"/>
      <w:sz w:val="22"/>
      <w:szCs w:val="22"/>
      <w:bdr w:val="none" w:sz="0" w:space="0" w:color="auto"/>
    </w:rPr>
  </w:style>
  <w:style w:type="paragraph" w:styleId="a6">
    <w:name w:val="Normal (Web)"/>
    <w:basedOn w:val="a"/>
    <w:link w:val="a7"/>
    <w:uiPriority w:val="99"/>
    <w:unhideWhenUsed/>
    <w:rsid w:val="00C672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C672DD"/>
    <w:rPr>
      <w:rFonts w:eastAsia="Times New Roman"/>
      <w:sz w:val="24"/>
      <w:szCs w:val="24"/>
      <w:bdr w:val="none" w:sz="0" w:space="0" w:color="auto"/>
    </w:rPr>
  </w:style>
  <w:style w:type="paragraph" w:styleId="a8">
    <w:name w:val="header"/>
    <w:basedOn w:val="a"/>
    <w:link w:val="a9"/>
    <w:uiPriority w:val="99"/>
    <w:unhideWhenUsed/>
    <w:rsid w:val="00C26855"/>
    <w:pPr>
      <w:tabs>
        <w:tab w:val="center" w:pos="4513"/>
        <w:tab w:val="right" w:pos="9026"/>
      </w:tabs>
    </w:pPr>
  </w:style>
  <w:style w:type="character" w:customStyle="1" w:styleId="a9">
    <w:name w:val="سرصفحه نویسه"/>
    <w:basedOn w:val="a0"/>
    <w:link w:val="a8"/>
    <w:uiPriority w:val="99"/>
    <w:rsid w:val="00C26855"/>
    <w:rPr>
      <w:sz w:val="24"/>
      <w:szCs w:val="24"/>
      <w:lang w:bidi="ar-SA"/>
    </w:rPr>
  </w:style>
  <w:style w:type="paragraph" w:styleId="aa">
    <w:name w:val="footer"/>
    <w:basedOn w:val="a"/>
    <w:link w:val="ab"/>
    <w:uiPriority w:val="99"/>
    <w:unhideWhenUsed/>
    <w:rsid w:val="00C26855"/>
    <w:pPr>
      <w:tabs>
        <w:tab w:val="center" w:pos="4513"/>
        <w:tab w:val="right" w:pos="9026"/>
      </w:tabs>
    </w:pPr>
  </w:style>
  <w:style w:type="character" w:customStyle="1" w:styleId="ab">
    <w:name w:val="پانویس نویسه"/>
    <w:basedOn w:val="a0"/>
    <w:link w:val="aa"/>
    <w:uiPriority w:val="99"/>
    <w:rsid w:val="00C26855"/>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paragraph" w:styleId="3">
    <w:name w:val="heading 3"/>
    <w:basedOn w:val="a"/>
    <w:next w:val="a"/>
    <w:link w:val="30"/>
    <w:uiPriority w:val="9"/>
    <w:unhideWhenUsed/>
    <w:qFormat/>
    <w:rsid w:val="00C672DD"/>
    <w:pPr>
      <w:keepNext/>
      <w:keepLines/>
      <w:pBdr>
        <w:top w:val="none" w:sz="0" w:space="0" w:color="auto"/>
        <w:left w:val="none" w:sz="0" w:space="0" w:color="auto"/>
        <w:bottom w:val="none" w:sz="0" w:space="0" w:color="auto"/>
        <w:right w:val="none" w:sz="0" w:space="0" w:color="auto"/>
        <w:between w:val="none" w:sz="0" w:space="0" w:color="auto"/>
        <w:bar w:val="none" w:sz="0" w:color="auto"/>
      </w:pBdr>
      <w:bidi/>
      <w:spacing w:before="200" w:line="276" w:lineRule="auto"/>
      <w:outlineLvl w:val="2"/>
    </w:pPr>
    <w:rPr>
      <w:rFonts w:asciiTheme="majorHAnsi" w:eastAsiaTheme="majorEastAsia" w:hAnsiTheme="majorHAnsi" w:cstheme="majorBidi"/>
      <w:b/>
      <w:bCs/>
      <w:color w:val="00A2FF" w:themeColor="accent1"/>
      <w:sz w:val="22"/>
      <w:szCs w:val="22"/>
      <w:bdr w:val="none" w:sz="0" w:space="0" w:color="auto"/>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customStyle="1" w:styleId="30">
    <w:name w:val="عنوان 3 نویسه"/>
    <w:basedOn w:val="a0"/>
    <w:link w:val="3"/>
    <w:uiPriority w:val="9"/>
    <w:rsid w:val="00C672DD"/>
    <w:rPr>
      <w:rFonts w:asciiTheme="majorHAnsi" w:eastAsiaTheme="majorEastAsia" w:hAnsiTheme="majorHAnsi" w:cstheme="majorBidi"/>
      <w:b/>
      <w:bCs/>
      <w:color w:val="00A2FF" w:themeColor="accent1"/>
      <w:sz w:val="22"/>
      <w:szCs w:val="22"/>
      <w:bdr w:val="none" w:sz="0" w:space="0" w:color="auto"/>
    </w:rPr>
  </w:style>
  <w:style w:type="paragraph" w:styleId="a6">
    <w:name w:val="Normal (Web)"/>
    <w:basedOn w:val="a"/>
    <w:link w:val="a7"/>
    <w:uiPriority w:val="99"/>
    <w:unhideWhenUsed/>
    <w:rsid w:val="00C672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C672DD"/>
    <w:rPr>
      <w:rFonts w:eastAsia="Times New Roman"/>
      <w:sz w:val="24"/>
      <w:szCs w:val="24"/>
      <w:bdr w:val="none" w:sz="0" w:space="0" w:color="auto"/>
    </w:rPr>
  </w:style>
  <w:style w:type="paragraph" w:styleId="a8">
    <w:name w:val="header"/>
    <w:basedOn w:val="a"/>
    <w:link w:val="a9"/>
    <w:uiPriority w:val="99"/>
    <w:unhideWhenUsed/>
    <w:rsid w:val="00C26855"/>
    <w:pPr>
      <w:tabs>
        <w:tab w:val="center" w:pos="4513"/>
        <w:tab w:val="right" w:pos="9026"/>
      </w:tabs>
    </w:pPr>
  </w:style>
  <w:style w:type="character" w:customStyle="1" w:styleId="a9">
    <w:name w:val="سرصفحه نویسه"/>
    <w:basedOn w:val="a0"/>
    <w:link w:val="a8"/>
    <w:uiPriority w:val="99"/>
    <w:rsid w:val="00C26855"/>
    <w:rPr>
      <w:sz w:val="24"/>
      <w:szCs w:val="24"/>
      <w:lang w:bidi="ar-SA"/>
    </w:rPr>
  </w:style>
  <w:style w:type="paragraph" w:styleId="aa">
    <w:name w:val="footer"/>
    <w:basedOn w:val="a"/>
    <w:link w:val="ab"/>
    <w:uiPriority w:val="99"/>
    <w:unhideWhenUsed/>
    <w:rsid w:val="00C26855"/>
    <w:pPr>
      <w:tabs>
        <w:tab w:val="center" w:pos="4513"/>
        <w:tab w:val="right" w:pos="9026"/>
      </w:tabs>
    </w:pPr>
  </w:style>
  <w:style w:type="character" w:customStyle="1" w:styleId="ab">
    <w:name w:val="پانویس نویسه"/>
    <w:basedOn w:val="a0"/>
    <w:link w:val="aa"/>
    <w:uiPriority w:val="99"/>
    <w:rsid w:val="00C2685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537</Words>
  <Characters>3063</Characters>
  <Application>Microsoft Office Word</Application>
  <DocSecurity>0</DocSecurity>
  <Lines>25</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2018-12-21T05:27:00Z</cp:lastPrinted>
  <dcterms:created xsi:type="dcterms:W3CDTF">2018-12-21T04:55:00Z</dcterms:created>
  <dcterms:modified xsi:type="dcterms:W3CDTF">2018-12-21T05:27:00Z</dcterms:modified>
</cp:coreProperties>
</file>