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4598A">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B4F9B" w:rsidRDefault="003B4F9B" w:rsidP="003B4F9B">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2710593" w:history="1">
        <w:r w:rsidRPr="00F642AD">
          <w:rPr>
            <w:rStyle w:val="Hyperlink"/>
            <w:noProof/>
            <w:rtl/>
          </w:rPr>
          <w:t>ادامه جهت چهاردهم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Toc532710593 \h</w:instrText>
        </w:r>
        <w:r>
          <w:rPr>
            <w:noProof/>
            <w:webHidden/>
            <w:rtl/>
          </w:rPr>
          <w:instrText xml:space="preserve"> </w:instrText>
        </w:r>
        <w:r>
          <w:rPr>
            <w:noProof/>
            <w:webHidden/>
            <w:rtl/>
          </w:rPr>
        </w:r>
        <w:r>
          <w:rPr>
            <w:noProof/>
            <w:webHidden/>
            <w:rtl/>
          </w:rPr>
          <w:fldChar w:fldCharType="separate"/>
        </w:r>
        <w:r w:rsidR="00B34EA5">
          <w:rPr>
            <w:noProof/>
            <w:webHidden/>
            <w:rtl/>
          </w:rPr>
          <w:t>1</w:t>
        </w:r>
        <w:r>
          <w:rPr>
            <w:noProof/>
            <w:webHidden/>
            <w:rtl/>
          </w:rPr>
          <w:fldChar w:fldCharType="end"/>
        </w:r>
      </w:hyperlink>
    </w:p>
    <w:p w:rsidR="003B4F9B" w:rsidRDefault="00084AE5" w:rsidP="003B4F9B">
      <w:pPr>
        <w:pStyle w:val="TOC2"/>
        <w:tabs>
          <w:tab w:val="right" w:leader="dot" w:pos="10194"/>
        </w:tabs>
        <w:rPr>
          <w:rFonts w:asciiTheme="minorHAnsi" w:eastAsiaTheme="minorEastAsia" w:hAnsiTheme="minorHAnsi" w:cstheme="minorBidi"/>
          <w:bCs w:val="0"/>
          <w:noProof/>
          <w:color w:val="auto"/>
          <w:szCs w:val="22"/>
          <w:rtl/>
          <w:lang w:bidi="ar-SA"/>
        </w:rPr>
      </w:pPr>
      <w:hyperlink w:anchor="_Toc532710594" w:history="1">
        <w:r w:rsidR="003B4F9B" w:rsidRPr="00F642AD">
          <w:rPr>
            <w:rStyle w:val="Hyperlink"/>
            <w:noProof/>
            <w:rtl/>
          </w:rPr>
          <w:t>دل</w:t>
        </w:r>
        <w:r w:rsidR="003B4F9B" w:rsidRPr="00F642AD">
          <w:rPr>
            <w:rStyle w:val="Hyperlink"/>
            <w:rFonts w:hint="cs"/>
            <w:noProof/>
            <w:rtl/>
          </w:rPr>
          <w:t>ی</w:t>
        </w:r>
        <w:r w:rsidR="003B4F9B" w:rsidRPr="00F642AD">
          <w:rPr>
            <w:rStyle w:val="Hyperlink"/>
            <w:rFonts w:hint="eastAsia"/>
            <w:noProof/>
            <w:rtl/>
          </w:rPr>
          <w:t>ل</w:t>
        </w:r>
        <w:r w:rsidR="003B4F9B" w:rsidRPr="00F642AD">
          <w:rPr>
            <w:rStyle w:val="Hyperlink"/>
            <w:noProof/>
            <w:rtl/>
          </w:rPr>
          <w:t xml:space="preserve"> قائل</w:t>
        </w:r>
        <w:r w:rsidR="003B4F9B" w:rsidRPr="00F642AD">
          <w:rPr>
            <w:rStyle w:val="Hyperlink"/>
            <w:rFonts w:hint="cs"/>
            <w:noProof/>
            <w:rtl/>
          </w:rPr>
          <w:t>ی</w:t>
        </w:r>
        <w:r w:rsidR="003B4F9B" w:rsidRPr="00F642AD">
          <w:rPr>
            <w:rStyle w:val="Hyperlink"/>
            <w:rFonts w:hint="eastAsia"/>
            <w:noProof/>
            <w:rtl/>
          </w:rPr>
          <w:t>ن</w:t>
        </w:r>
        <w:r w:rsidR="003B4F9B" w:rsidRPr="00F642AD">
          <w:rPr>
            <w:rStyle w:val="Hyperlink"/>
            <w:noProof/>
            <w:rtl/>
          </w:rPr>
          <w:t xml:space="preserve"> به عدم اشتراط</w:t>
        </w:r>
        <w:r w:rsidR="003B4F9B">
          <w:rPr>
            <w:noProof/>
            <w:webHidden/>
            <w:rtl/>
          </w:rPr>
          <w:tab/>
        </w:r>
        <w:r w:rsidR="003B4F9B">
          <w:rPr>
            <w:noProof/>
            <w:webHidden/>
            <w:rtl/>
          </w:rPr>
          <w:fldChar w:fldCharType="begin"/>
        </w:r>
        <w:r w:rsidR="003B4F9B">
          <w:rPr>
            <w:noProof/>
            <w:webHidden/>
            <w:rtl/>
          </w:rPr>
          <w:instrText xml:space="preserve"> </w:instrText>
        </w:r>
        <w:r w:rsidR="003B4F9B">
          <w:rPr>
            <w:noProof/>
            <w:webHidden/>
          </w:rPr>
          <w:instrText>PAGEREF</w:instrText>
        </w:r>
        <w:r w:rsidR="003B4F9B">
          <w:rPr>
            <w:noProof/>
            <w:webHidden/>
            <w:rtl/>
          </w:rPr>
          <w:instrText xml:space="preserve"> _</w:instrText>
        </w:r>
        <w:r w:rsidR="003B4F9B">
          <w:rPr>
            <w:noProof/>
            <w:webHidden/>
          </w:rPr>
          <w:instrText>Toc532710594 \h</w:instrText>
        </w:r>
        <w:r w:rsidR="003B4F9B">
          <w:rPr>
            <w:noProof/>
            <w:webHidden/>
            <w:rtl/>
          </w:rPr>
          <w:instrText xml:space="preserve"> </w:instrText>
        </w:r>
        <w:r w:rsidR="003B4F9B">
          <w:rPr>
            <w:noProof/>
            <w:webHidden/>
            <w:rtl/>
          </w:rPr>
        </w:r>
        <w:r w:rsidR="003B4F9B">
          <w:rPr>
            <w:noProof/>
            <w:webHidden/>
            <w:rtl/>
          </w:rPr>
          <w:fldChar w:fldCharType="separate"/>
        </w:r>
        <w:r w:rsidR="00B34EA5">
          <w:rPr>
            <w:noProof/>
            <w:webHidden/>
            <w:rtl/>
          </w:rPr>
          <w:t>1</w:t>
        </w:r>
        <w:r w:rsidR="003B4F9B">
          <w:rPr>
            <w:noProof/>
            <w:webHidden/>
            <w:rtl/>
          </w:rPr>
          <w:fldChar w:fldCharType="end"/>
        </w:r>
      </w:hyperlink>
    </w:p>
    <w:p w:rsidR="003B4F9B" w:rsidRDefault="00084AE5" w:rsidP="003B4F9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32710595" w:history="1">
        <w:r w:rsidR="003B4F9B" w:rsidRPr="00F642AD">
          <w:rPr>
            <w:rStyle w:val="Hyperlink"/>
            <w:noProof/>
            <w:rtl/>
          </w:rPr>
          <w:t>مناقشه(مرحوم خوئ</w:t>
        </w:r>
        <w:r w:rsidR="003B4F9B" w:rsidRPr="00F642AD">
          <w:rPr>
            <w:rStyle w:val="Hyperlink"/>
            <w:rFonts w:hint="cs"/>
            <w:noProof/>
            <w:rtl/>
          </w:rPr>
          <w:t>ی</w:t>
        </w:r>
        <w:r w:rsidR="003B4F9B" w:rsidRPr="00F642AD">
          <w:rPr>
            <w:rStyle w:val="Hyperlink"/>
            <w:noProof/>
            <w:rtl/>
          </w:rPr>
          <w:t xml:space="preserve"> و مرحوم امام)</w:t>
        </w:r>
        <w:r w:rsidR="003B4F9B">
          <w:rPr>
            <w:noProof/>
            <w:webHidden/>
            <w:rtl/>
          </w:rPr>
          <w:tab/>
        </w:r>
        <w:r w:rsidR="003B4F9B">
          <w:rPr>
            <w:noProof/>
            <w:webHidden/>
            <w:rtl/>
          </w:rPr>
          <w:fldChar w:fldCharType="begin"/>
        </w:r>
        <w:r w:rsidR="003B4F9B">
          <w:rPr>
            <w:noProof/>
            <w:webHidden/>
            <w:rtl/>
          </w:rPr>
          <w:instrText xml:space="preserve"> </w:instrText>
        </w:r>
        <w:r w:rsidR="003B4F9B">
          <w:rPr>
            <w:noProof/>
            <w:webHidden/>
          </w:rPr>
          <w:instrText>PAGEREF</w:instrText>
        </w:r>
        <w:r w:rsidR="003B4F9B">
          <w:rPr>
            <w:noProof/>
            <w:webHidden/>
            <w:rtl/>
          </w:rPr>
          <w:instrText xml:space="preserve"> _</w:instrText>
        </w:r>
        <w:r w:rsidR="003B4F9B">
          <w:rPr>
            <w:noProof/>
            <w:webHidden/>
          </w:rPr>
          <w:instrText>Toc532710595 \h</w:instrText>
        </w:r>
        <w:r w:rsidR="003B4F9B">
          <w:rPr>
            <w:noProof/>
            <w:webHidden/>
            <w:rtl/>
          </w:rPr>
          <w:instrText xml:space="preserve"> </w:instrText>
        </w:r>
        <w:r w:rsidR="003B4F9B">
          <w:rPr>
            <w:noProof/>
            <w:webHidden/>
            <w:rtl/>
          </w:rPr>
        </w:r>
        <w:r w:rsidR="003B4F9B">
          <w:rPr>
            <w:noProof/>
            <w:webHidden/>
            <w:rtl/>
          </w:rPr>
          <w:fldChar w:fldCharType="separate"/>
        </w:r>
        <w:r w:rsidR="00B34EA5">
          <w:rPr>
            <w:noProof/>
            <w:webHidden/>
            <w:rtl/>
          </w:rPr>
          <w:t>2</w:t>
        </w:r>
        <w:r w:rsidR="003B4F9B">
          <w:rPr>
            <w:noProof/>
            <w:webHidden/>
            <w:rtl/>
          </w:rPr>
          <w:fldChar w:fldCharType="end"/>
        </w:r>
      </w:hyperlink>
    </w:p>
    <w:p w:rsidR="003B4F9B" w:rsidRDefault="00084AE5" w:rsidP="003B4F9B">
      <w:pPr>
        <w:pStyle w:val="TOC4"/>
        <w:tabs>
          <w:tab w:val="right" w:leader="dot" w:pos="10194"/>
        </w:tabs>
        <w:rPr>
          <w:rFonts w:asciiTheme="minorHAnsi" w:eastAsiaTheme="minorEastAsia" w:hAnsiTheme="minorHAnsi" w:cstheme="minorBidi"/>
          <w:bCs w:val="0"/>
          <w:noProof/>
          <w:color w:val="auto"/>
          <w:szCs w:val="22"/>
          <w:rtl/>
          <w:lang w:bidi="ar-SA"/>
        </w:rPr>
      </w:pPr>
      <w:hyperlink w:anchor="_Toc532710596" w:history="1">
        <w:r w:rsidR="003B4F9B" w:rsidRPr="00F642AD">
          <w:rPr>
            <w:rStyle w:val="Hyperlink"/>
            <w:noProof/>
            <w:rtl/>
          </w:rPr>
          <w:t>تخلص</w:t>
        </w:r>
        <w:r w:rsidR="003B4F9B">
          <w:rPr>
            <w:noProof/>
            <w:webHidden/>
            <w:rtl/>
          </w:rPr>
          <w:tab/>
        </w:r>
        <w:r w:rsidR="003B4F9B">
          <w:rPr>
            <w:noProof/>
            <w:webHidden/>
            <w:rtl/>
          </w:rPr>
          <w:fldChar w:fldCharType="begin"/>
        </w:r>
        <w:r w:rsidR="003B4F9B">
          <w:rPr>
            <w:noProof/>
            <w:webHidden/>
            <w:rtl/>
          </w:rPr>
          <w:instrText xml:space="preserve"> </w:instrText>
        </w:r>
        <w:r w:rsidR="003B4F9B">
          <w:rPr>
            <w:noProof/>
            <w:webHidden/>
          </w:rPr>
          <w:instrText>PAGEREF</w:instrText>
        </w:r>
        <w:r w:rsidR="003B4F9B">
          <w:rPr>
            <w:noProof/>
            <w:webHidden/>
            <w:rtl/>
          </w:rPr>
          <w:instrText xml:space="preserve"> _</w:instrText>
        </w:r>
        <w:r w:rsidR="003B4F9B">
          <w:rPr>
            <w:noProof/>
            <w:webHidden/>
          </w:rPr>
          <w:instrText>Toc532710596 \h</w:instrText>
        </w:r>
        <w:r w:rsidR="003B4F9B">
          <w:rPr>
            <w:noProof/>
            <w:webHidden/>
            <w:rtl/>
          </w:rPr>
          <w:instrText xml:space="preserve"> </w:instrText>
        </w:r>
        <w:r w:rsidR="003B4F9B">
          <w:rPr>
            <w:noProof/>
            <w:webHidden/>
            <w:rtl/>
          </w:rPr>
        </w:r>
        <w:r w:rsidR="003B4F9B">
          <w:rPr>
            <w:noProof/>
            <w:webHidden/>
            <w:rtl/>
          </w:rPr>
          <w:fldChar w:fldCharType="separate"/>
        </w:r>
        <w:r w:rsidR="00B34EA5">
          <w:rPr>
            <w:noProof/>
            <w:webHidden/>
            <w:rtl/>
          </w:rPr>
          <w:t>2</w:t>
        </w:r>
        <w:r w:rsidR="003B4F9B">
          <w:rPr>
            <w:noProof/>
            <w:webHidden/>
            <w:rtl/>
          </w:rPr>
          <w:fldChar w:fldCharType="end"/>
        </w:r>
      </w:hyperlink>
    </w:p>
    <w:p w:rsidR="003B4F9B" w:rsidRDefault="00084AE5" w:rsidP="003B4F9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32710597" w:history="1">
        <w:r w:rsidR="003B4F9B" w:rsidRPr="00F642AD">
          <w:rPr>
            <w:rStyle w:val="Hyperlink"/>
            <w:noProof/>
            <w:rtl/>
          </w:rPr>
          <w:t>مناقشه 2</w:t>
        </w:r>
        <w:r w:rsidR="003B4F9B">
          <w:rPr>
            <w:noProof/>
            <w:webHidden/>
            <w:rtl/>
          </w:rPr>
          <w:tab/>
        </w:r>
        <w:r w:rsidR="003B4F9B">
          <w:rPr>
            <w:noProof/>
            <w:webHidden/>
            <w:rtl/>
          </w:rPr>
          <w:fldChar w:fldCharType="begin"/>
        </w:r>
        <w:r w:rsidR="003B4F9B">
          <w:rPr>
            <w:noProof/>
            <w:webHidden/>
            <w:rtl/>
          </w:rPr>
          <w:instrText xml:space="preserve"> </w:instrText>
        </w:r>
        <w:r w:rsidR="003B4F9B">
          <w:rPr>
            <w:noProof/>
            <w:webHidden/>
          </w:rPr>
          <w:instrText>PAGEREF</w:instrText>
        </w:r>
        <w:r w:rsidR="003B4F9B">
          <w:rPr>
            <w:noProof/>
            <w:webHidden/>
            <w:rtl/>
          </w:rPr>
          <w:instrText xml:space="preserve"> _</w:instrText>
        </w:r>
        <w:r w:rsidR="003B4F9B">
          <w:rPr>
            <w:noProof/>
            <w:webHidden/>
          </w:rPr>
          <w:instrText>Toc532710597 \h</w:instrText>
        </w:r>
        <w:r w:rsidR="003B4F9B">
          <w:rPr>
            <w:noProof/>
            <w:webHidden/>
            <w:rtl/>
          </w:rPr>
          <w:instrText xml:space="preserve"> </w:instrText>
        </w:r>
        <w:r w:rsidR="003B4F9B">
          <w:rPr>
            <w:noProof/>
            <w:webHidden/>
            <w:rtl/>
          </w:rPr>
        </w:r>
        <w:r w:rsidR="003B4F9B">
          <w:rPr>
            <w:noProof/>
            <w:webHidden/>
            <w:rtl/>
          </w:rPr>
          <w:fldChar w:fldCharType="separate"/>
        </w:r>
        <w:r w:rsidR="00B34EA5">
          <w:rPr>
            <w:noProof/>
            <w:webHidden/>
            <w:rtl/>
          </w:rPr>
          <w:t>2</w:t>
        </w:r>
        <w:r w:rsidR="003B4F9B">
          <w:rPr>
            <w:noProof/>
            <w:webHidden/>
            <w:rtl/>
          </w:rPr>
          <w:fldChar w:fldCharType="end"/>
        </w:r>
      </w:hyperlink>
    </w:p>
    <w:p w:rsidR="003B4F9B" w:rsidRDefault="00084AE5" w:rsidP="003B4F9B">
      <w:pPr>
        <w:pStyle w:val="TOC4"/>
        <w:tabs>
          <w:tab w:val="right" w:leader="dot" w:pos="10194"/>
        </w:tabs>
        <w:rPr>
          <w:rFonts w:asciiTheme="minorHAnsi" w:eastAsiaTheme="minorEastAsia" w:hAnsiTheme="minorHAnsi" w:cstheme="minorBidi"/>
          <w:bCs w:val="0"/>
          <w:noProof/>
          <w:color w:val="auto"/>
          <w:szCs w:val="22"/>
          <w:rtl/>
          <w:lang w:bidi="ar-SA"/>
        </w:rPr>
      </w:pPr>
      <w:hyperlink w:anchor="_Toc532710598" w:history="1">
        <w:r w:rsidR="003B4F9B" w:rsidRPr="00F642AD">
          <w:rPr>
            <w:rStyle w:val="Hyperlink"/>
            <w:noProof/>
            <w:rtl/>
          </w:rPr>
          <w:t>تخلص</w:t>
        </w:r>
        <w:r w:rsidR="003B4F9B">
          <w:rPr>
            <w:noProof/>
            <w:webHidden/>
            <w:rtl/>
          </w:rPr>
          <w:tab/>
        </w:r>
        <w:r w:rsidR="003B4F9B">
          <w:rPr>
            <w:noProof/>
            <w:webHidden/>
            <w:rtl/>
          </w:rPr>
          <w:fldChar w:fldCharType="begin"/>
        </w:r>
        <w:r w:rsidR="003B4F9B">
          <w:rPr>
            <w:noProof/>
            <w:webHidden/>
            <w:rtl/>
          </w:rPr>
          <w:instrText xml:space="preserve"> </w:instrText>
        </w:r>
        <w:r w:rsidR="003B4F9B">
          <w:rPr>
            <w:noProof/>
            <w:webHidden/>
          </w:rPr>
          <w:instrText>PAGEREF</w:instrText>
        </w:r>
        <w:r w:rsidR="003B4F9B">
          <w:rPr>
            <w:noProof/>
            <w:webHidden/>
            <w:rtl/>
          </w:rPr>
          <w:instrText xml:space="preserve"> _</w:instrText>
        </w:r>
        <w:r w:rsidR="003B4F9B">
          <w:rPr>
            <w:noProof/>
            <w:webHidden/>
          </w:rPr>
          <w:instrText>Toc532710598 \h</w:instrText>
        </w:r>
        <w:r w:rsidR="003B4F9B">
          <w:rPr>
            <w:noProof/>
            <w:webHidden/>
            <w:rtl/>
          </w:rPr>
          <w:instrText xml:space="preserve"> </w:instrText>
        </w:r>
        <w:r w:rsidR="003B4F9B">
          <w:rPr>
            <w:noProof/>
            <w:webHidden/>
            <w:rtl/>
          </w:rPr>
        </w:r>
        <w:r w:rsidR="003B4F9B">
          <w:rPr>
            <w:noProof/>
            <w:webHidden/>
            <w:rtl/>
          </w:rPr>
          <w:fldChar w:fldCharType="separate"/>
        </w:r>
        <w:r w:rsidR="00B34EA5">
          <w:rPr>
            <w:noProof/>
            <w:webHidden/>
            <w:rtl/>
          </w:rPr>
          <w:t>3</w:t>
        </w:r>
        <w:r w:rsidR="003B4F9B">
          <w:rPr>
            <w:noProof/>
            <w:webHidden/>
            <w:rtl/>
          </w:rPr>
          <w:fldChar w:fldCharType="end"/>
        </w:r>
      </w:hyperlink>
    </w:p>
    <w:p w:rsidR="003B4F9B" w:rsidRDefault="00084AE5" w:rsidP="003B4F9B">
      <w:pPr>
        <w:pStyle w:val="TOC5"/>
        <w:tabs>
          <w:tab w:val="right" w:leader="dot" w:pos="10194"/>
        </w:tabs>
        <w:rPr>
          <w:rFonts w:asciiTheme="minorHAnsi" w:eastAsiaTheme="minorEastAsia" w:hAnsiTheme="minorHAnsi" w:cstheme="minorBidi"/>
          <w:bCs w:val="0"/>
          <w:noProof/>
          <w:color w:val="auto"/>
          <w:szCs w:val="22"/>
          <w:rtl/>
          <w:lang w:bidi="ar-SA"/>
        </w:rPr>
      </w:pPr>
      <w:hyperlink w:anchor="_Toc532710599" w:history="1">
        <w:r w:rsidR="003B4F9B" w:rsidRPr="00F642AD">
          <w:rPr>
            <w:rStyle w:val="Hyperlink"/>
            <w:noProof/>
            <w:rtl/>
          </w:rPr>
          <w:t>اشکال به تخلص</w:t>
        </w:r>
        <w:r w:rsidR="003B4F9B">
          <w:rPr>
            <w:noProof/>
            <w:webHidden/>
            <w:rtl/>
          </w:rPr>
          <w:tab/>
        </w:r>
        <w:r w:rsidR="003B4F9B">
          <w:rPr>
            <w:noProof/>
            <w:webHidden/>
            <w:rtl/>
          </w:rPr>
          <w:fldChar w:fldCharType="begin"/>
        </w:r>
        <w:r w:rsidR="003B4F9B">
          <w:rPr>
            <w:noProof/>
            <w:webHidden/>
            <w:rtl/>
          </w:rPr>
          <w:instrText xml:space="preserve"> </w:instrText>
        </w:r>
        <w:r w:rsidR="003B4F9B">
          <w:rPr>
            <w:noProof/>
            <w:webHidden/>
          </w:rPr>
          <w:instrText>PAGEREF</w:instrText>
        </w:r>
        <w:r w:rsidR="003B4F9B">
          <w:rPr>
            <w:noProof/>
            <w:webHidden/>
            <w:rtl/>
          </w:rPr>
          <w:instrText xml:space="preserve"> _</w:instrText>
        </w:r>
        <w:r w:rsidR="003B4F9B">
          <w:rPr>
            <w:noProof/>
            <w:webHidden/>
          </w:rPr>
          <w:instrText>Toc532710599 \h</w:instrText>
        </w:r>
        <w:r w:rsidR="003B4F9B">
          <w:rPr>
            <w:noProof/>
            <w:webHidden/>
            <w:rtl/>
          </w:rPr>
          <w:instrText xml:space="preserve"> </w:instrText>
        </w:r>
        <w:r w:rsidR="003B4F9B">
          <w:rPr>
            <w:noProof/>
            <w:webHidden/>
            <w:rtl/>
          </w:rPr>
        </w:r>
        <w:r w:rsidR="003B4F9B">
          <w:rPr>
            <w:noProof/>
            <w:webHidden/>
            <w:rtl/>
          </w:rPr>
          <w:fldChar w:fldCharType="separate"/>
        </w:r>
        <w:r w:rsidR="00B34EA5">
          <w:rPr>
            <w:noProof/>
            <w:webHidden/>
            <w:rtl/>
          </w:rPr>
          <w:t>3</w:t>
        </w:r>
        <w:r w:rsidR="003B4F9B">
          <w:rPr>
            <w:noProof/>
            <w:webHidden/>
            <w:rtl/>
          </w:rPr>
          <w:fldChar w:fldCharType="end"/>
        </w:r>
      </w:hyperlink>
    </w:p>
    <w:p w:rsidR="003B4F9B" w:rsidRDefault="00084AE5" w:rsidP="003B4F9B">
      <w:pPr>
        <w:pStyle w:val="TOC6"/>
        <w:tabs>
          <w:tab w:val="right" w:leader="dot" w:pos="10194"/>
        </w:tabs>
        <w:rPr>
          <w:rFonts w:asciiTheme="minorHAnsi" w:eastAsiaTheme="minorEastAsia" w:hAnsiTheme="minorHAnsi" w:cstheme="minorBidi"/>
          <w:bCs w:val="0"/>
          <w:noProof/>
          <w:color w:val="auto"/>
          <w:szCs w:val="22"/>
          <w:rtl/>
          <w:lang w:bidi="ar-SA"/>
        </w:rPr>
      </w:pPr>
      <w:hyperlink w:anchor="_Toc532710600" w:history="1">
        <w:r w:rsidR="003B4F9B" w:rsidRPr="00F642AD">
          <w:rPr>
            <w:rStyle w:val="Hyperlink"/>
            <w:noProof/>
            <w:rtl/>
          </w:rPr>
          <w:t>تخلص از اشکال اخ</w:t>
        </w:r>
        <w:r w:rsidR="003B4F9B" w:rsidRPr="00F642AD">
          <w:rPr>
            <w:rStyle w:val="Hyperlink"/>
            <w:rFonts w:hint="cs"/>
            <w:noProof/>
            <w:rtl/>
          </w:rPr>
          <w:t>ی</w:t>
        </w:r>
        <w:r w:rsidR="003B4F9B" w:rsidRPr="00F642AD">
          <w:rPr>
            <w:rStyle w:val="Hyperlink"/>
            <w:rFonts w:hint="eastAsia"/>
            <w:noProof/>
            <w:rtl/>
          </w:rPr>
          <w:t>ر</w:t>
        </w:r>
        <w:r w:rsidR="003B4F9B">
          <w:rPr>
            <w:noProof/>
            <w:webHidden/>
            <w:rtl/>
          </w:rPr>
          <w:tab/>
        </w:r>
        <w:r w:rsidR="003B4F9B">
          <w:rPr>
            <w:noProof/>
            <w:webHidden/>
            <w:rtl/>
          </w:rPr>
          <w:fldChar w:fldCharType="begin"/>
        </w:r>
        <w:r w:rsidR="003B4F9B">
          <w:rPr>
            <w:noProof/>
            <w:webHidden/>
            <w:rtl/>
          </w:rPr>
          <w:instrText xml:space="preserve"> </w:instrText>
        </w:r>
        <w:r w:rsidR="003B4F9B">
          <w:rPr>
            <w:noProof/>
            <w:webHidden/>
          </w:rPr>
          <w:instrText>PAGEREF</w:instrText>
        </w:r>
        <w:r w:rsidR="003B4F9B">
          <w:rPr>
            <w:noProof/>
            <w:webHidden/>
            <w:rtl/>
          </w:rPr>
          <w:instrText xml:space="preserve"> _</w:instrText>
        </w:r>
        <w:r w:rsidR="003B4F9B">
          <w:rPr>
            <w:noProof/>
            <w:webHidden/>
          </w:rPr>
          <w:instrText>Toc532710600 \h</w:instrText>
        </w:r>
        <w:r w:rsidR="003B4F9B">
          <w:rPr>
            <w:noProof/>
            <w:webHidden/>
            <w:rtl/>
          </w:rPr>
          <w:instrText xml:space="preserve"> </w:instrText>
        </w:r>
        <w:r w:rsidR="003B4F9B">
          <w:rPr>
            <w:noProof/>
            <w:webHidden/>
            <w:rtl/>
          </w:rPr>
        </w:r>
        <w:r w:rsidR="003B4F9B">
          <w:rPr>
            <w:noProof/>
            <w:webHidden/>
            <w:rtl/>
          </w:rPr>
          <w:fldChar w:fldCharType="separate"/>
        </w:r>
        <w:r w:rsidR="00B34EA5">
          <w:rPr>
            <w:noProof/>
            <w:webHidden/>
            <w:rtl/>
          </w:rPr>
          <w:t>3</w:t>
        </w:r>
        <w:r w:rsidR="003B4F9B">
          <w:rPr>
            <w:noProof/>
            <w:webHidden/>
            <w:rtl/>
          </w:rPr>
          <w:fldChar w:fldCharType="end"/>
        </w:r>
      </w:hyperlink>
    </w:p>
    <w:p w:rsidR="003B4F9B" w:rsidRDefault="00084AE5" w:rsidP="003B4F9B">
      <w:pPr>
        <w:pStyle w:val="TOC4"/>
        <w:tabs>
          <w:tab w:val="right" w:leader="dot" w:pos="10194"/>
        </w:tabs>
        <w:rPr>
          <w:rFonts w:asciiTheme="minorHAnsi" w:eastAsiaTheme="minorEastAsia" w:hAnsiTheme="minorHAnsi" w:cstheme="minorBidi"/>
          <w:bCs w:val="0"/>
          <w:noProof/>
          <w:color w:val="auto"/>
          <w:szCs w:val="22"/>
          <w:rtl/>
          <w:lang w:bidi="ar-SA"/>
        </w:rPr>
      </w:pPr>
      <w:hyperlink w:anchor="_Toc532710601" w:history="1">
        <w:r w:rsidR="003B4F9B" w:rsidRPr="00F642AD">
          <w:rPr>
            <w:rStyle w:val="Hyperlink"/>
            <w:noProof/>
            <w:rtl/>
          </w:rPr>
          <w:t>تخلص 2(از مناقشه 2)</w:t>
        </w:r>
        <w:r w:rsidR="003B4F9B">
          <w:rPr>
            <w:noProof/>
            <w:webHidden/>
            <w:rtl/>
          </w:rPr>
          <w:tab/>
        </w:r>
        <w:r w:rsidR="003B4F9B">
          <w:rPr>
            <w:noProof/>
            <w:webHidden/>
            <w:rtl/>
          </w:rPr>
          <w:fldChar w:fldCharType="begin"/>
        </w:r>
        <w:r w:rsidR="003B4F9B">
          <w:rPr>
            <w:noProof/>
            <w:webHidden/>
            <w:rtl/>
          </w:rPr>
          <w:instrText xml:space="preserve"> </w:instrText>
        </w:r>
        <w:r w:rsidR="003B4F9B">
          <w:rPr>
            <w:noProof/>
            <w:webHidden/>
          </w:rPr>
          <w:instrText>PAGEREF</w:instrText>
        </w:r>
        <w:r w:rsidR="003B4F9B">
          <w:rPr>
            <w:noProof/>
            <w:webHidden/>
            <w:rtl/>
          </w:rPr>
          <w:instrText xml:space="preserve"> _</w:instrText>
        </w:r>
        <w:r w:rsidR="003B4F9B">
          <w:rPr>
            <w:noProof/>
            <w:webHidden/>
          </w:rPr>
          <w:instrText>Toc532710601 \h</w:instrText>
        </w:r>
        <w:r w:rsidR="003B4F9B">
          <w:rPr>
            <w:noProof/>
            <w:webHidden/>
            <w:rtl/>
          </w:rPr>
          <w:instrText xml:space="preserve"> </w:instrText>
        </w:r>
        <w:r w:rsidR="003B4F9B">
          <w:rPr>
            <w:noProof/>
            <w:webHidden/>
            <w:rtl/>
          </w:rPr>
        </w:r>
        <w:r w:rsidR="003B4F9B">
          <w:rPr>
            <w:noProof/>
            <w:webHidden/>
            <w:rtl/>
          </w:rPr>
          <w:fldChar w:fldCharType="separate"/>
        </w:r>
        <w:r w:rsidR="00B34EA5">
          <w:rPr>
            <w:noProof/>
            <w:webHidden/>
            <w:rtl/>
          </w:rPr>
          <w:t>4</w:t>
        </w:r>
        <w:r w:rsidR="003B4F9B">
          <w:rPr>
            <w:noProof/>
            <w:webHidden/>
            <w:rtl/>
          </w:rPr>
          <w:fldChar w:fldCharType="end"/>
        </w:r>
      </w:hyperlink>
    </w:p>
    <w:p w:rsidR="003B4F9B" w:rsidRDefault="00084AE5" w:rsidP="003B4F9B">
      <w:pPr>
        <w:pStyle w:val="TOC5"/>
        <w:tabs>
          <w:tab w:val="right" w:leader="dot" w:pos="10194"/>
        </w:tabs>
        <w:rPr>
          <w:rFonts w:asciiTheme="minorHAnsi" w:eastAsiaTheme="minorEastAsia" w:hAnsiTheme="minorHAnsi" w:cstheme="minorBidi"/>
          <w:bCs w:val="0"/>
          <w:noProof/>
          <w:color w:val="auto"/>
          <w:szCs w:val="22"/>
          <w:rtl/>
          <w:lang w:bidi="ar-SA"/>
        </w:rPr>
      </w:pPr>
      <w:hyperlink w:anchor="_Toc532710602" w:history="1">
        <w:r w:rsidR="003B4F9B" w:rsidRPr="00F642AD">
          <w:rPr>
            <w:rStyle w:val="Hyperlink"/>
            <w:noProof/>
            <w:rtl/>
          </w:rPr>
          <w:t>اشکال به تخلص 2</w:t>
        </w:r>
        <w:r w:rsidR="003B4F9B">
          <w:rPr>
            <w:noProof/>
            <w:webHidden/>
            <w:rtl/>
          </w:rPr>
          <w:tab/>
        </w:r>
        <w:r w:rsidR="003B4F9B">
          <w:rPr>
            <w:noProof/>
            <w:webHidden/>
            <w:rtl/>
          </w:rPr>
          <w:fldChar w:fldCharType="begin"/>
        </w:r>
        <w:r w:rsidR="003B4F9B">
          <w:rPr>
            <w:noProof/>
            <w:webHidden/>
            <w:rtl/>
          </w:rPr>
          <w:instrText xml:space="preserve"> </w:instrText>
        </w:r>
        <w:r w:rsidR="003B4F9B">
          <w:rPr>
            <w:noProof/>
            <w:webHidden/>
          </w:rPr>
          <w:instrText>PAGEREF</w:instrText>
        </w:r>
        <w:r w:rsidR="003B4F9B">
          <w:rPr>
            <w:noProof/>
            <w:webHidden/>
            <w:rtl/>
          </w:rPr>
          <w:instrText xml:space="preserve"> _</w:instrText>
        </w:r>
        <w:r w:rsidR="003B4F9B">
          <w:rPr>
            <w:noProof/>
            <w:webHidden/>
          </w:rPr>
          <w:instrText>Toc532710602 \h</w:instrText>
        </w:r>
        <w:r w:rsidR="003B4F9B">
          <w:rPr>
            <w:noProof/>
            <w:webHidden/>
            <w:rtl/>
          </w:rPr>
          <w:instrText xml:space="preserve"> </w:instrText>
        </w:r>
        <w:r w:rsidR="003B4F9B">
          <w:rPr>
            <w:noProof/>
            <w:webHidden/>
            <w:rtl/>
          </w:rPr>
        </w:r>
        <w:r w:rsidR="003B4F9B">
          <w:rPr>
            <w:noProof/>
            <w:webHidden/>
            <w:rtl/>
          </w:rPr>
          <w:fldChar w:fldCharType="separate"/>
        </w:r>
        <w:r w:rsidR="00B34EA5">
          <w:rPr>
            <w:noProof/>
            <w:webHidden/>
            <w:rtl/>
          </w:rPr>
          <w:t>4</w:t>
        </w:r>
        <w:r w:rsidR="003B4F9B">
          <w:rPr>
            <w:noProof/>
            <w:webHidden/>
            <w:rtl/>
          </w:rPr>
          <w:fldChar w:fldCharType="end"/>
        </w:r>
      </w:hyperlink>
    </w:p>
    <w:p w:rsidR="003B4F9B" w:rsidRDefault="00084AE5" w:rsidP="003B4F9B">
      <w:pPr>
        <w:pStyle w:val="TOC1"/>
        <w:rPr>
          <w:rFonts w:asciiTheme="minorHAnsi" w:eastAsiaTheme="minorEastAsia" w:hAnsiTheme="minorHAnsi" w:cstheme="minorBidi"/>
          <w:noProof/>
          <w:color w:val="auto"/>
          <w:szCs w:val="22"/>
          <w:rtl/>
          <w:lang w:bidi="ar-SA"/>
        </w:rPr>
      </w:pPr>
      <w:hyperlink w:anchor="_Toc532710603" w:history="1">
        <w:r w:rsidR="003B4F9B" w:rsidRPr="00F642AD">
          <w:rPr>
            <w:rStyle w:val="Hyperlink"/>
            <w:noProof/>
            <w:rtl/>
          </w:rPr>
          <w:t>خلاصه جلسه</w:t>
        </w:r>
        <w:r w:rsidR="003B4F9B">
          <w:rPr>
            <w:noProof/>
            <w:webHidden/>
            <w:rtl/>
          </w:rPr>
          <w:tab/>
        </w:r>
        <w:r w:rsidR="003B4F9B">
          <w:rPr>
            <w:noProof/>
            <w:webHidden/>
            <w:rtl/>
          </w:rPr>
          <w:fldChar w:fldCharType="begin"/>
        </w:r>
        <w:r w:rsidR="003B4F9B">
          <w:rPr>
            <w:noProof/>
            <w:webHidden/>
            <w:rtl/>
          </w:rPr>
          <w:instrText xml:space="preserve"> </w:instrText>
        </w:r>
        <w:r w:rsidR="003B4F9B">
          <w:rPr>
            <w:noProof/>
            <w:webHidden/>
          </w:rPr>
          <w:instrText>PAGEREF</w:instrText>
        </w:r>
        <w:r w:rsidR="003B4F9B">
          <w:rPr>
            <w:noProof/>
            <w:webHidden/>
            <w:rtl/>
          </w:rPr>
          <w:instrText xml:space="preserve"> _</w:instrText>
        </w:r>
        <w:r w:rsidR="003B4F9B">
          <w:rPr>
            <w:noProof/>
            <w:webHidden/>
          </w:rPr>
          <w:instrText>Toc532710603 \h</w:instrText>
        </w:r>
        <w:r w:rsidR="003B4F9B">
          <w:rPr>
            <w:noProof/>
            <w:webHidden/>
            <w:rtl/>
          </w:rPr>
          <w:instrText xml:space="preserve"> </w:instrText>
        </w:r>
        <w:r w:rsidR="003B4F9B">
          <w:rPr>
            <w:noProof/>
            <w:webHidden/>
            <w:rtl/>
          </w:rPr>
        </w:r>
        <w:r w:rsidR="003B4F9B">
          <w:rPr>
            <w:noProof/>
            <w:webHidden/>
            <w:rtl/>
          </w:rPr>
          <w:fldChar w:fldCharType="separate"/>
        </w:r>
        <w:r w:rsidR="00B34EA5">
          <w:rPr>
            <w:noProof/>
            <w:webHidden/>
            <w:rtl/>
          </w:rPr>
          <w:t>4</w:t>
        </w:r>
        <w:r w:rsidR="003B4F9B">
          <w:rPr>
            <w:noProof/>
            <w:webHidden/>
            <w:rtl/>
          </w:rPr>
          <w:fldChar w:fldCharType="end"/>
        </w:r>
      </w:hyperlink>
    </w:p>
    <w:p w:rsidR="00C91EB6" w:rsidRPr="00C91EB6" w:rsidRDefault="003B4F9B" w:rsidP="0074598A">
      <w:pPr>
        <w:jc w:val="both"/>
      </w:pPr>
      <w:r>
        <w:rPr>
          <w:rFonts w:cs="B Titr"/>
          <w:noProof/>
          <w:webHidden/>
          <w:color w:val="632423" w:themeColor="accent2" w:themeShade="80"/>
          <w:szCs w:val="24"/>
          <w:rtl/>
        </w:rPr>
        <w:fldChar w:fldCharType="end"/>
      </w:r>
    </w:p>
    <w:p w:rsidR="00F343FB" w:rsidRPr="00A6366F" w:rsidRDefault="00F842AD" w:rsidP="0074598A">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6424ED">
        <w:rPr>
          <w:rtl/>
        </w:rPr>
        <w:t>جهت چهاردهم: بررس</w:t>
      </w:r>
      <w:r w:rsidR="006424ED">
        <w:rPr>
          <w:rFonts w:hint="cs"/>
          <w:rtl/>
        </w:rPr>
        <w:t>ی</w:t>
      </w:r>
      <w:r w:rsidR="006424ED">
        <w:rPr>
          <w:rtl/>
        </w:rPr>
        <w:t xml:space="preserve"> اشتراط احتمال التفات</w:t>
      </w:r>
      <w:r w:rsidR="00025B70">
        <w:rPr>
          <w:rFonts w:hint="cs"/>
          <w:rtl/>
        </w:rPr>
        <w:t xml:space="preserve"> </w:t>
      </w:r>
      <w:r w:rsidR="00386C11" w:rsidRPr="00A6366F">
        <w:rPr>
          <w:rFonts w:hint="cs"/>
          <w:rtl/>
        </w:rPr>
        <w:t>/</w:t>
      </w:r>
      <w:bookmarkStart w:id="1" w:name="BokSabj_d"/>
      <w:bookmarkEnd w:id="1"/>
      <w:r w:rsidR="006424ED">
        <w:rPr>
          <w:rtl/>
        </w:rPr>
        <w:t>تعارض استصحاب با قاعده فراغ و تجاوز</w:t>
      </w:r>
      <w:r w:rsidR="00386C11" w:rsidRPr="00A6366F">
        <w:rPr>
          <w:rFonts w:hint="cs"/>
          <w:rtl/>
        </w:rPr>
        <w:t xml:space="preserve"> /</w:t>
      </w:r>
      <w:bookmarkStart w:id="2" w:name="Bokkolli"/>
      <w:bookmarkEnd w:id="2"/>
      <w:r w:rsidR="006424ED">
        <w:rPr>
          <w:rtl/>
        </w:rPr>
        <w:t>تنب</w:t>
      </w:r>
      <w:r w:rsidR="006424ED">
        <w:rPr>
          <w:rFonts w:hint="cs"/>
          <w:rtl/>
        </w:rPr>
        <w:t>ی</w:t>
      </w:r>
      <w:r w:rsidR="006424ED">
        <w:rPr>
          <w:rFonts w:hint="eastAsia"/>
          <w:rtl/>
        </w:rPr>
        <w:t>هات</w:t>
      </w:r>
      <w:r w:rsidR="006424ED">
        <w:rPr>
          <w:rtl/>
        </w:rPr>
        <w:t xml:space="preserve"> استصحاب</w:t>
      </w:r>
      <w:r w:rsidR="001B6799" w:rsidRPr="00A6366F">
        <w:rPr>
          <w:rFonts w:hint="cs"/>
          <w:rtl/>
        </w:rPr>
        <w:t xml:space="preserve"> </w:t>
      </w:r>
    </w:p>
    <w:p w:rsidR="008F5B4D" w:rsidRPr="009C66D5" w:rsidRDefault="008F5B4D" w:rsidP="0074598A">
      <w:pPr>
        <w:jc w:val="both"/>
        <w:rPr>
          <w:rStyle w:val="Emphasis"/>
          <w:b/>
          <w:bCs w:val="0"/>
          <w:rtl/>
        </w:rPr>
      </w:pPr>
      <w:r w:rsidRPr="009C66D5">
        <w:rPr>
          <w:rStyle w:val="Emphasis"/>
          <w:rFonts w:hint="cs"/>
          <w:b/>
          <w:bCs w:val="0"/>
          <w:rtl/>
        </w:rPr>
        <w:t>خلاصه مباحث گذشته:</w:t>
      </w:r>
    </w:p>
    <w:p w:rsidR="003A6148" w:rsidRDefault="00AB4E8B" w:rsidP="0074598A">
      <w:pPr>
        <w:pBdr>
          <w:bottom w:val="double" w:sz="6" w:space="1" w:color="auto"/>
        </w:pBdr>
        <w:jc w:val="both"/>
        <w:rPr>
          <w:rtl/>
        </w:rPr>
      </w:pPr>
      <w:r>
        <w:rPr>
          <w:rFonts w:hint="cs"/>
          <w:rtl/>
        </w:rPr>
        <w:t xml:space="preserve">عرض کردیم که در جهت چهاردهم در مورد اشتراط احتمال التفات در هنگام انجام عمل بحث می کنیم. </w:t>
      </w:r>
      <w:r w:rsidRPr="00EE0612">
        <w:rPr>
          <w:rFonts w:hint="cs"/>
          <w:color w:val="000080"/>
          <w:rtl/>
        </w:rPr>
        <w:t xml:space="preserve">عده ای قائل به عدم جریان قاعده </w:t>
      </w:r>
      <w:r w:rsidR="00EE0612" w:rsidRPr="00EE0612">
        <w:rPr>
          <w:rFonts w:hint="cs"/>
          <w:color w:val="000080"/>
          <w:rtl/>
        </w:rPr>
        <w:t xml:space="preserve"> فراغ </w:t>
      </w:r>
      <w:r w:rsidRPr="00EE0612">
        <w:rPr>
          <w:rFonts w:hint="cs"/>
          <w:color w:val="000080"/>
          <w:rtl/>
        </w:rPr>
        <w:t>در صورت عدم احتمال التفات و به عبارت دیگر در صورت علم به غفلت شده اند، مثل مرحوم نائینی، مرحوم عراقی و مرحوم تبریزی</w:t>
      </w:r>
      <w:r>
        <w:rPr>
          <w:rFonts w:hint="cs"/>
          <w:rtl/>
        </w:rPr>
        <w:t>. برای اثبات عدم اشتراط ما به دو چیز نیازمندیم: 1. اثبات اطلاق ادله، 2. اثبات عدم وجود قید.</w:t>
      </w:r>
    </w:p>
    <w:p w:rsidR="00247D2F" w:rsidRPr="003A6148" w:rsidRDefault="00247D2F" w:rsidP="0074598A">
      <w:pPr>
        <w:pBdr>
          <w:bottom w:val="double" w:sz="6" w:space="1" w:color="auto"/>
        </w:pBdr>
        <w:jc w:val="both"/>
      </w:pPr>
    </w:p>
    <w:p w:rsidR="008F5B4D" w:rsidRDefault="008F5B4D" w:rsidP="0074598A">
      <w:pPr>
        <w:jc w:val="both"/>
      </w:pPr>
    </w:p>
    <w:p w:rsidR="00711707" w:rsidRDefault="00711707" w:rsidP="0074598A">
      <w:pPr>
        <w:pStyle w:val="Heading1"/>
        <w:jc w:val="both"/>
        <w:rPr>
          <w:rtl/>
        </w:rPr>
      </w:pPr>
      <w:bookmarkStart w:id="3" w:name="_Toc532710593"/>
      <w:bookmarkStart w:id="4" w:name="_Toc532636290"/>
      <w:r>
        <w:rPr>
          <w:rFonts w:hint="cs"/>
          <w:rtl/>
        </w:rPr>
        <w:t>ادامه جهت چهاردهم</w:t>
      </w:r>
      <w:bookmarkEnd w:id="3"/>
    </w:p>
    <w:p w:rsidR="00711707" w:rsidRDefault="00711707" w:rsidP="0074598A">
      <w:pPr>
        <w:pStyle w:val="Heading2"/>
        <w:jc w:val="both"/>
        <w:rPr>
          <w:rtl/>
        </w:rPr>
      </w:pPr>
      <w:bookmarkStart w:id="5" w:name="_Toc532710594"/>
      <w:r>
        <w:rPr>
          <w:rFonts w:hint="cs"/>
          <w:rtl/>
        </w:rPr>
        <w:t>دلیل قائلین به عدم اشتراط</w:t>
      </w:r>
      <w:bookmarkEnd w:id="4"/>
      <w:bookmarkEnd w:id="5"/>
    </w:p>
    <w:p w:rsidR="003D7A77" w:rsidRDefault="00711707" w:rsidP="00E43944">
      <w:pPr>
        <w:jc w:val="both"/>
        <w:rPr>
          <w:rtl/>
        </w:rPr>
      </w:pPr>
      <w:r>
        <w:rPr>
          <w:rFonts w:hint="cs"/>
          <w:rtl/>
        </w:rPr>
        <w:t xml:space="preserve">اطلاق ادله؛ مثل </w:t>
      </w:r>
      <w:r w:rsidR="00E43944">
        <w:rPr>
          <w:rFonts w:hint="cs"/>
          <w:rtl/>
        </w:rPr>
        <w:t>موثقه</w:t>
      </w:r>
      <w:r>
        <w:rPr>
          <w:rFonts w:hint="cs"/>
          <w:rtl/>
        </w:rPr>
        <w:t xml:space="preserve"> محمد بن مسلم که می فرماید: «</w:t>
      </w:r>
      <w:r w:rsidRPr="00E73F27">
        <w:rPr>
          <w:color w:val="008000"/>
          <w:rtl/>
        </w:rPr>
        <w:t xml:space="preserve"> كُلُّ مَا شَكَكْتَ فِيهِ مِمَّا قَدْ مَضَى فَامْضِهِ كَمَا هُو</w:t>
      </w:r>
      <w:r>
        <w:rPr>
          <w:rFonts w:hint="cs"/>
          <w:rtl/>
        </w:rPr>
        <w:t>»</w:t>
      </w:r>
      <w:r>
        <w:rPr>
          <w:rStyle w:val="FootnoteReference"/>
          <w:rtl/>
        </w:rPr>
        <w:footnoteReference w:id="1"/>
      </w:r>
      <w:r w:rsidR="003D7A77">
        <w:rPr>
          <w:rFonts w:hint="cs"/>
          <w:rtl/>
        </w:rPr>
        <w:t>،</w:t>
      </w:r>
      <w:r w:rsidR="003D7A77" w:rsidRPr="003D7A77">
        <w:rPr>
          <w:rFonts w:hint="cs"/>
          <w:rtl/>
        </w:rPr>
        <w:t xml:space="preserve"> </w:t>
      </w:r>
      <w:r w:rsidR="003D7A77">
        <w:rPr>
          <w:rFonts w:hint="cs"/>
          <w:rtl/>
        </w:rPr>
        <w:t xml:space="preserve">دلیل مقیِّدی هم در بین نیست؛ زیرا آن چه به عنوان مقید ذکر شده تعلیل ذیل دو روایت است که می فرماید: </w:t>
      </w:r>
      <w:r w:rsidR="003D7A77" w:rsidRPr="00BD2A20">
        <w:rPr>
          <w:rFonts w:hint="cs"/>
          <w:color w:val="008000"/>
          <w:rtl/>
        </w:rPr>
        <w:t>«</w:t>
      </w:r>
      <w:r w:rsidR="003D7A77" w:rsidRPr="00E73F27">
        <w:rPr>
          <w:color w:val="008000"/>
          <w:rtl/>
        </w:rPr>
        <w:t xml:space="preserve">هُوَ حِينَ يَتَوَضَّأُ أَذْكَرُ مِنْهُ حِينَ </w:t>
      </w:r>
      <w:r w:rsidR="003D7A77" w:rsidRPr="00E73F27">
        <w:rPr>
          <w:color w:val="008000"/>
          <w:rtl/>
        </w:rPr>
        <w:lastRenderedPageBreak/>
        <w:t>يَشُك‏</w:t>
      </w:r>
      <w:r w:rsidR="003D7A77" w:rsidRPr="00BD2A20">
        <w:rPr>
          <w:rFonts w:hint="cs"/>
          <w:color w:val="008000"/>
          <w:rtl/>
        </w:rPr>
        <w:t>»</w:t>
      </w:r>
      <w:r w:rsidR="003D7A77">
        <w:rPr>
          <w:rStyle w:val="FootnoteReference"/>
          <w:color w:val="008000"/>
          <w:rtl/>
        </w:rPr>
        <w:footnoteReference w:id="2"/>
      </w:r>
      <w:r w:rsidR="003D7A77">
        <w:rPr>
          <w:rFonts w:hint="cs"/>
          <w:rtl/>
        </w:rPr>
        <w:t xml:space="preserve"> و دیگری که </w:t>
      </w:r>
      <w:r w:rsidR="003D7A77" w:rsidRPr="00BD2A20">
        <w:rPr>
          <w:rFonts w:hint="cs"/>
          <w:color w:val="008000"/>
          <w:rtl/>
        </w:rPr>
        <w:t>«</w:t>
      </w:r>
      <w:r w:rsidR="003D7A77" w:rsidRPr="00E73F27">
        <w:rPr>
          <w:color w:val="008000"/>
          <w:rtl/>
        </w:rPr>
        <w:t>كَانَ حِينَ انْصَرَفَ أَقْرَبَ إِلَى الْحَقِّ مِنْهُ بَعْدَ ذَلِك‏</w:t>
      </w:r>
      <w:r w:rsidR="003D7A77" w:rsidRPr="00BD2A20">
        <w:rPr>
          <w:rFonts w:hint="cs"/>
          <w:color w:val="008000"/>
          <w:rtl/>
        </w:rPr>
        <w:t>»</w:t>
      </w:r>
      <w:r w:rsidR="003D7A77">
        <w:rPr>
          <w:rStyle w:val="FootnoteReference"/>
          <w:color w:val="008000"/>
          <w:rtl/>
        </w:rPr>
        <w:footnoteReference w:id="3"/>
      </w:r>
      <w:r w:rsidR="003D7A77">
        <w:rPr>
          <w:color w:val="008000"/>
        </w:rPr>
        <w:t xml:space="preserve"> </w:t>
      </w:r>
      <w:r w:rsidR="003D7A77">
        <w:rPr>
          <w:rFonts w:hint="cs"/>
          <w:rtl/>
        </w:rPr>
        <w:t>؛ لکن این حکمت است نه علت، لذا نمی تواند بیان کننده قید باشد.</w:t>
      </w:r>
    </w:p>
    <w:p w:rsidR="001A1EA5" w:rsidRDefault="001A1EA5" w:rsidP="003D7A77">
      <w:pPr>
        <w:jc w:val="both"/>
        <w:rPr>
          <w:rtl/>
        </w:rPr>
      </w:pPr>
    </w:p>
    <w:p w:rsidR="0074598A" w:rsidRDefault="00883C9C" w:rsidP="00113BA8">
      <w:pPr>
        <w:pStyle w:val="Heading3"/>
        <w:rPr>
          <w:rtl/>
        </w:rPr>
      </w:pPr>
      <w:bookmarkStart w:id="6" w:name="_Toc532710595"/>
      <w:r>
        <w:rPr>
          <w:rFonts w:hint="cs"/>
          <w:rtl/>
        </w:rPr>
        <w:t>مناقشه(مرحوم خوئی</w:t>
      </w:r>
      <w:r w:rsidR="00230EB1">
        <w:rPr>
          <w:rStyle w:val="FootnoteReference"/>
          <w:rtl/>
        </w:rPr>
        <w:footnoteReference w:id="4"/>
      </w:r>
      <w:r>
        <w:rPr>
          <w:rFonts w:hint="cs"/>
          <w:rtl/>
        </w:rPr>
        <w:t xml:space="preserve"> و مرحوم امام</w:t>
      </w:r>
      <w:r w:rsidR="00230EB1">
        <w:rPr>
          <w:rStyle w:val="FootnoteReference"/>
          <w:rtl/>
        </w:rPr>
        <w:footnoteReference w:id="5"/>
      </w:r>
      <w:r>
        <w:rPr>
          <w:rFonts w:hint="cs"/>
          <w:rtl/>
        </w:rPr>
        <w:t>)</w:t>
      </w:r>
      <w:bookmarkEnd w:id="6"/>
    </w:p>
    <w:p w:rsidR="0074598A" w:rsidRDefault="0074598A" w:rsidP="00230EB1">
      <w:pPr>
        <w:jc w:val="both"/>
        <w:rPr>
          <w:rtl/>
        </w:rPr>
      </w:pPr>
      <w:r>
        <w:rPr>
          <w:rFonts w:hint="cs"/>
          <w:rtl/>
        </w:rPr>
        <w:t xml:space="preserve">ظهور </w:t>
      </w:r>
      <w:r w:rsidR="00883C9C">
        <w:rPr>
          <w:rFonts w:hint="cs"/>
          <w:rtl/>
        </w:rPr>
        <w:t>برخی ادله قاعد</w:t>
      </w:r>
      <w:r w:rsidR="00EE0612">
        <w:rPr>
          <w:rFonts w:hint="cs"/>
          <w:rtl/>
        </w:rPr>
        <w:t>ه فراغ</w:t>
      </w:r>
      <w:r w:rsidR="00883C9C">
        <w:rPr>
          <w:rFonts w:hint="cs"/>
          <w:rtl/>
        </w:rPr>
        <w:t xml:space="preserve"> </w:t>
      </w:r>
      <w:r>
        <w:rPr>
          <w:rFonts w:hint="cs"/>
          <w:rtl/>
        </w:rPr>
        <w:t>در اطلاق واضح است</w:t>
      </w:r>
      <w:r w:rsidR="00883C9C">
        <w:rPr>
          <w:rFonts w:hint="cs"/>
          <w:rtl/>
        </w:rPr>
        <w:t>،</w:t>
      </w:r>
      <w:r>
        <w:rPr>
          <w:rFonts w:hint="cs"/>
          <w:rtl/>
        </w:rPr>
        <w:t xml:space="preserve"> لکن اشکال این است که</w:t>
      </w:r>
      <w:r w:rsidR="00883C9C" w:rsidRPr="00883C9C">
        <w:rPr>
          <w:rFonts w:hint="cs"/>
          <w:rtl/>
        </w:rPr>
        <w:t xml:space="preserve"> </w:t>
      </w:r>
      <w:r w:rsidR="00883C9C">
        <w:rPr>
          <w:rFonts w:hint="cs"/>
          <w:rtl/>
        </w:rPr>
        <w:t>با وجود سیره در موضع خطاب</w:t>
      </w:r>
      <w:r w:rsidR="004E132B">
        <w:rPr>
          <w:rFonts w:hint="cs"/>
          <w:rtl/>
        </w:rPr>
        <w:t>،</w:t>
      </w:r>
      <w:r w:rsidR="00883C9C">
        <w:rPr>
          <w:rFonts w:hint="cs"/>
          <w:rtl/>
        </w:rPr>
        <w:t xml:space="preserve"> ظهور خطاب در </w:t>
      </w:r>
      <w:r w:rsidR="004E132B">
        <w:rPr>
          <w:rFonts w:hint="cs"/>
          <w:rtl/>
        </w:rPr>
        <w:t>امضائی بودن است نه تأسیسی بودن</w:t>
      </w:r>
      <w:r w:rsidR="00883C9C">
        <w:rPr>
          <w:rFonts w:hint="cs"/>
          <w:rtl/>
        </w:rPr>
        <w:t>.</w:t>
      </w:r>
      <w:r>
        <w:rPr>
          <w:rFonts w:hint="cs"/>
          <w:rtl/>
        </w:rPr>
        <w:t xml:space="preserve"> قاعده فراغ و تجاوز</w:t>
      </w:r>
      <w:r w:rsidR="00883C9C">
        <w:rPr>
          <w:rFonts w:hint="cs"/>
          <w:rtl/>
        </w:rPr>
        <w:t xml:space="preserve"> نیز این گونه اند</w:t>
      </w:r>
      <w:r>
        <w:rPr>
          <w:rFonts w:hint="cs"/>
          <w:rtl/>
        </w:rPr>
        <w:t xml:space="preserve"> </w:t>
      </w:r>
      <w:r w:rsidR="00883C9C">
        <w:rPr>
          <w:rFonts w:hint="cs"/>
          <w:rtl/>
        </w:rPr>
        <w:t>و سیره عقلاء موافق آن ها قائم شده است</w:t>
      </w:r>
      <w:r>
        <w:rPr>
          <w:rFonts w:hint="cs"/>
          <w:rtl/>
        </w:rPr>
        <w:t xml:space="preserve">. </w:t>
      </w:r>
      <w:r w:rsidR="00883C9C">
        <w:rPr>
          <w:rFonts w:hint="cs"/>
          <w:rtl/>
        </w:rPr>
        <w:t xml:space="preserve">از طرفی سیره عقلا به خاطر جاری کردن اصل عدم غفلت قائل </w:t>
      </w:r>
      <w:r w:rsidR="00EE0612">
        <w:rPr>
          <w:rFonts w:hint="cs"/>
          <w:rtl/>
        </w:rPr>
        <w:t>به جریان قاعده فراغ</w:t>
      </w:r>
      <w:r w:rsidR="00883C9C">
        <w:rPr>
          <w:rFonts w:hint="cs"/>
          <w:rtl/>
        </w:rPr>
        <w:t xml:space="preserve"> شده اند</w:t>
      </w:r>
      <w:r>
        <w:rPr>
          <w:rFonts w:hint="cs"/>
          <w:rtl/>
        </w:rPr>
        <w:t xml:space="preserve"> و</w:t>
      </w:r>
      <w:r w:rsidR="00883C9C">
        <w:rPr>
          <w:rFonts w:hint="cs"/>
          <w:rtl/>
        </w:rPr>
        <w:t xml:space="preserve"> حال آن که</w:t>
      </w:r>
      <w:r>
        <w:rPr>
          <w:rFonts w:hint="cs"/>
          <w:rtl/>
        </w:rPr>
        <w:t xml:space="preserve"> عدم غفلت در جایی جاری است که احتمال ا</w:t>
      </w:r>
      <w:r w:rsidR="00EA0F2E">
        <w:rPr>
          <w:rFonts w:hint="cs"/>
          <w:rtl/>
        </w:rPr>
        <w:t>لتفات داده شود. اما در صورت علم به غفلت، عقلاء اصل عدم غفلت را جاری نمی دانند؛ زیرا قطعا مخالف واقع است.</w:t>
      </w:r>
      <w:r w:rsidR="00883C9C">
        <w:rPr>
          <w:rFonts w:hint="cs"/>
          <w:rtl/>
        </w:rPr>
        <w:t xml:space="preserve"> </w:t>
      </w:r>
      <w:r w:rsidR="00EA0F2E">
        <w:rPr>
          <w:rFonts w:hint="cs"/>
          <w:rtl/>
        </w:rPr>
        <w:t>لذا وجود سیره خاص در ما نحن فیه مانع از اطلاق گیری می شود.</w:t>
      </w:r>
      <w:r w:rsidR="003D7A77" w:rsidRPr="003D7A77">
        <w:rPr>
          <w:rStyle w:val="FootnoteReference"/>
          <w:rtl/>
        </w:rPr>
        <w:t xml:space="preserve"> </w:t>
      </w:r>
    </w:p>
    <w:p w:rsidR="00EA0F2E" w:rsidRDefault="00EA0F2E" w:rsidP="00113BA8">
      <w:pPr>
        <w:pStyle w:val="Heading4"/>
        <w:rPr>
          <w:rtl/>
        </w:rPr>
      </w:pPr>
      <w:bookmarkStart w:id="7" w:name="_Toc532710596"/>
      <w:r>
        <w:rPr>
          <w:rFonts w:hint="cs"/>
          <w:rtl/>
        </w:rPr>
        <w:t>تخلص</w:t>
      </w:r>
      <w:bookmarkEnd w:id="7"/>
    </w:p>
    <w:p w:rsidR="00EA0F2E" w:rsidRDefault="00EA0F2E" w:rsidP="00113BA8">
      <w:pPr>
        <w:jc w:val="both"/>
        <w:rPr>
          <w:rtl/>
        </w:rPr>
      </w:pPr>
      <w:r>
        <w:rPr>
          <w:rFonts w:hint="cs"/>
          <w:rtl/>
        </w:rPr>
        <w:t>مجرد وجود بناء عقلاء موجب رفع ید از اطلاق نمی شود؛ زیرا ظاهر بیان شارع مولویت و اعمال تعبد است و ممکن است شارع به جهت توسعه نسبت به آن چه بناء عقلاء بر آن است</w:t>
      </w:r>
      <w:r w:rsidR="00113BA8">
        <w:rPr>
          <w:rFonts w:hint="cs"/>
          <w:rtl/>
        </w:rPr>
        <w:t>،</w:t>
      </w:r>
      <w:r>
        <w:rPr>
          <w:rFonts w:hint="cs"/>
          <w:rtl/>
        </w:rPr>
        <w:t xml:space="preserve"> تعبدا قاعده ای را جعل کرده باشد. هر گاه قرینه بر عدم جعل شارع یافتیم از ظهور اطلاق رفع ید می کنیم و حال آن </w:t>
      </w:r>
      <w:r w:rsidR="00113BA8">
        <w:rPr>
          <w:rFonts w:hint="cs"/>
          <w:rtl/>
        </w:rPr>
        <w:t>که</w:t>
      </w:r>
      <w:r>
        <w:rPr>
          <w:rFonts w:hint="cs"/>
          <w:rtl/>
        </w:rPr>
        <w:t xml:space="preserve"> در این جا چنین چیزی نداریم.</w:t>
      </w:r>
    </w:p>
    <w:p w:rsidR="00113BA8" w:rsidRDefault="00113BA8" w:rsidP="00113BA8">
      <w:pPr>
        <w:pStyle w:val="Heading3"/>
        <w:rPr>
          <w:rtl/>
        </w:rPr>
      </w:pPr>
      <w:bookmarkStart w:id="8" w:name="_Toc532710597"/>
      <w:r>
        <w:rPr>
          <w:rFonts w:hint="cs"/>
          <w:rtl/>
        </w:rPr>
        <w:t>مناقشه 2</w:t>
      </w:r>
      <w:bookmarkEnd w:id="8"/>
    </w:p>
    <w:p w:rsidR="00113BA8" w:rsidRPr="00113BA8" w:rsidRDefault="001539DD" w:rsidP="004E132B">
      <w:pPr>
        <w:rPr>
          <w:rtl/>
        </w:rPr>
      </w:pPr>
      <w:r>
        <w:rPr>
          <w:rFonts w:hint="cs"/>
          <w:rtl/>
        </w:rPr>
        <w:t xml:space="preserve">مرحوم خوئی می فرماید: </w:t>
      </w:r>
      <w:r w:rsidR="00113BA8">
        <w:rPr>
          <w:rFonts w:hint="cs"/>
          <w:rtl/>
        </w:rPr>
        <w:t xml:space="preserve">قید وجود دارد. </w:t>
      </w:r>
      <w:r w:rsidR="004E132B">
        <w:rPr>
          <w:rFonts w:hint="cs"/>
          <w:rtl/>
        </w:rPr>
        <w:t xml:space="preserve">مفاد </w:t>
      </w:r>
      <w:r w:rsidRPr="00113BA8">
        <w:rPr>
          <w:rFonts w:hint="cs"/>
          <w:rtl/>
        </w:rPr>
        <w:t>تعلیلی که در ذیل</w:t>
      </w:r>
      <w:r>
        <w:rPr>
          <w:rFonts w:hint="cs"/>
          <w:rtl/>
        </w:rPr>
        <w:t xml:space="preserve"> </w:t>
      </w:r>
      <w:r w:rsidR="00113BA8">
        <w:rPr>
          <w:rFonts w:hint="cs"/>
          <w:rtl/>
        </w:rPr>
        <w:t>صحیحه بکیر بن اعین</w:t>
      </w:r>
      <w:r w:rsidR="00113BA8">
        <w:rPr>
          <w:rStyle w:val="FootnoteReference"/>
          <w:color w:val="008000"/>
          <w:rtl/>
        </w:rPr>
        <w:footnoteReference w:id="6"/>
      </w:r>
      <w:r w:rsidR="00113BA8">
        <w:rPr>
          <w:rFonts w:hint="cs"/>
          <w:rtl/>
        </w:rPr>
        <w:t xml:space="preserve"> و صحیحه محمد بن مسلم</w:t>
      </w:r>
      <w:r w:rsidR="00113BA8" w:rsidRPr="00113BA8">
        <w:rPr>
          <w:rStyle w:val="FootnoteReference"/>
          <w:color w:val="000000"/>
          <w:rtl/>
        </w:rPr>
        <w:footnoteReference w:id="7"/>
      </w:r>
      <w:r w:rsidR="00113BA8" w:rsidRPr="00113BA8">
        <w:rPr>
          <w:color w:val="000000"/>
        </w:rPr>
        <w:t xml:space="preserve"> </w:t>
      </w:r>
      <w:r w:rsidR="00113BA8" w:rsidRPr="00113BA8">
        <w:rPr>
          <w:rFonts w:hint="cs"/>
          <w:color w:val="000000"/>
          <w:rtl/>
        </w:rPr>
        <w:t xml:space="preserve"> </w:t>
      </w:r>
      <w:r w:rsidR="00113BA8" w:rsidRPr="00113BA8">
        <w:rPr>
          <w:rFonts w:hint="cs"/>
          <w:rtl/>
        </w:rPr>
        <w:t>آمده است این است که اذکریت</w:t>
      </w:r>
      <w:r w:rsidR="004E132B">
        <w:rPr>
          <w:rFonts w:hint="cs"/>
          <w:rtl/>
        </w:rPr>
        <w:t xml:space="preserve"> ملاک</w:t>
      </w:r>
      <w:r w:rsidR="00113BA8" w:rsidRPr="00113BA8">
        <w:rPr>
          <w:rFonts w:hint="cs"/>
          <w:rtl/>
        </w:rPr>
        <w:t xml:space="preserve"> </w:t>
      </w:r>
      <w:r>
        <w:rPr>
          <w:rFonts w:hint="cs"/>
          <w:rtl/>
        </w:rPr>
        <w:t>است در حالی که در صورت علم به غفلت،</w:t>
      </w:r>
      <w:r w:rsidR="00113BA8" w:rsidRPr="00113BA8">
        <w:rPr>
          <w:rFonts w:hint="cs"/>
          <w:rtl/>
        </w:rPr>
        <w:t xml:space="preserve"> اذکریت را عرف بر نمی تابد. لذا اطلاقات(به فرض قبول</w:t>
      </w:r>
      <w:r w:rsidR="004E132B">
        <w:rPr>
          <w:rFonts w:hint="cs"/>
          <w:rtl/>
        </w:rPr>
        <w:t xml:space="preserve"> وجود اطلاق</w:t>
      </w:r>
      <w:r w:rsidR="00113BA8" w:rsidRPr="00113BA8">
        <w:rPr>
          <w:rFonts w:hint="cs"/>
          <w:rtl/>
        </w:rPr>
        <w:t>)به وسیله تعلیل مذکور در این روایات مقید می شو</w:t>
      </w:r>
      <w:r>
        <w:rPr>
          <w:rFonts w:hint="cs"/>
          <w:rtl/>
        </w:rPr>
        <w:t>ن</w:t>
      </w:r>
      <w:r w:rsidR="00113BA8" w:rsidRPr="00113BA8">
        <w:rPr>
          <w:rFonts w:hint="cs"/>
          <w:rtl/>
        </w:rPr>
        <w:t>د.</w:t>
      </w:r>
      <w:r w:rsidR="003D7A77">
        <w:rPr>
          <w:rStyle w:val="FootnoteReference"/>
          <w:rtl/>
        </w:rPr>
        <w:footnoteReference w:id="8"/>
      </w:r>
    </w:p>
    <w:p w:rsidR="00113BA8" w:rsidRDefault="00113BA8" w:rsidP="00113BA8">
      <w:pPr>
        <w:pStyle w:val="Heading4"/>
        <w:rPr>
          <w:rtl/>
        </w:rPr>
      </w:pPr>
      <w:bookmarkStart w:id="9" w:name="_Toc532710598"/>
      <w:r>
        <w:rPr>
          <w:rFonts w:hint="cs"/>
          <w:rtl/>
        </w:rPr>
        <w:lastRenderedPageBreak/>
        <w:t>تخلص</w:t>
      </w:r>
      <w:bookmarkEnd w:id="9"/>
      <w:r>
        <w:rPr>
          <w:rFonts w:hint="cs"/>
          <w:rtl/>
        </w:rPr>
        <w:t xml:space="preserve">  </w:t>
      </w:r>
    </w:p>
    <w:p w:rsidR="00113BA8" w:rsidRDefault="005B36A4" w:rsidP="001539DD">
      <w:pPr>
        <w:rPr>
          <w:rtl/>
        </w:rPr>
      </w:pPr>
      <w:r>
        <w:rPr>
          <w:rFonts w:hint="cs"/>
          <w:rtl/>
        </w:rPr>
        <w:t xml:space="preserve">مرحوم نائینی در جواب فرموده است که </w:t>
      </w:r>
      <w:r w:rsidR="001539DD">
        <w:rPr>
          <w:rFonts w:hint="cs"/>
          <w:rtl/>
        </w:rPr>
        <w:t xml:space="preserve">آن چه </w:t>
      </w:r>
      <w:r w:rsidR="00113BA8">
        <w:rPr>
          <w:rFonts w:hint="cs"/>
          <w:rtl/>
        </w:rPr>
        <w:t>در</w:t>
      </w:r>
      <w:r w:rsidR="001539DD">
        <w:rPr>
          <w:rFonts w:hint="cs"/>
          <w:rtl/>
        </w:rPr>
        <w:t xml:space="preserve"> ذیل</w:t>
      </w:r>
      <w:r w:rsidR="00113BA8">
        <w:rPr>
          <w:rFonts w:hint="cs"/>
          <w:rtl/>
        </w:rPr>
        <w:t xml:space="preserve"> این دو روایت</w:t>
      </w:r>
      <w:r w:rsidR="001539DD">
        <w:rPr>
          <w:rFonts w:hint="cs"/>
          <w:rtl/>
        </w:rPr>
        <w:t xml:space="preserve"> آمده است،</w:t>
      </w:r>
      <w:r w:rsidR="00113BA8">
        <w:rPr>
          <w:rFonts w:hint="cs"/>
          <w:rtl/>
        </w:rPr>
        <w:t xml:space="preserve"> حکمت است نه علت، لذا دائره حکم محدود به</w:t>
      </w:r>
      <w:r w:rsidR="0049764A">
        <w:rPr>
          <w:rFonts w:hint="cs"/>
          <w:rtl/>
        </w:rPr>
        <w:t xml:space="preserve"> حال</w:t>
      </w:r>
      <w:r w:rsidR="00113BA8">
        <w:rPr>
          <w:rFonts w:hint="cs"/>
          <w:rtl/>
        </w:rPr>
        <w:t xml:space="preserve"> اذکریّت </w:t>
      </w:r>
      <w:r w:rsidR="001539DD">
        <w:rPr>
          <w:rFonts w:hint="cs"/>
          <w:rtl/>
        </w:rPr>
        <w:t>مکلّف نیست</w:t>
      </w:r>
      <w:r w:rsidR="003D406D">
        <w:rPr>
          <w:rFonts w:hint="cs"/>
          <w:rtl/>
        </w:rPr>
        <w:t xml:space="preserve">، بلکه </w:t>
      </w:r>
      <w:r w:rsidR="001539DD">
        <w:rPr>
          <w:rFonts w:hint="cs"/>
          <w:rtl/>
        </w:rPr>
        <w:t>صورت عدم اذکریت را هم در بر می گیرد.</w:t>
      </w:r>
      <w:r w:rsidR="0049764A">
        <w:rPr>
          <w:rFonts w:hint="cs"/>
          <w:rtl/>
        </w:rPr>
        <w:t xml:space="preserve"> </w:t>
      </w:r>
      <w:r>
        <w:rPr>
          <w:rStyle w:val="FootnoteReference"/>
          <w:rtl/>
        </w:rPr>
        <w:footnoteReference w:id="9"/>
      </w:r>
    </w:p>
    <w:p w:rsidR="0049764A" w:rsidRDefault="0049764A" w:rsidP="0049764A">
      <w:pPr>
        <w:pStyle w:val="Heading5"/>
        <w:rPr>
          <w:rtl/>
        </w:rPr>
      </w:pPr>
      <w:bookmarkStart w:id="10" w:name="_Toc532710599"/>
      <w:r>
        <w:rPr>
          <w:rFonts w:hint="cs"/>
          <w:rtl/>
        </w:rPr>
        <w:t>اشکال به تخلص</w:t>
      </w:r>
      <w:bookmarkEnd w:id="10"/>
    </w:p>
    <w:p w:rsidR="0049764A" w:rsidRPr="0049764A" w:rsidRDefault="0049764A" w:rsidP="003D406D">
      <w:pPr>
        <w:rPr>
          <w:rtl/>
        </w:rPr>
      </w:pPr>
      <w:r>
        <w:rPr>
          <w:rFonts w:hint="cs"/>
          <w:rtl/>
        </w:rPr>
        <w:t>مرحوم خوئی می فرماید  که قاعده اولیه نسبت به وجهی</w:t>
      </w:r>
      <w:r w:rsidR="003D406D">
        <w:rPr>
          <w:rFonts w:hint="cs"/>
          <w:rtl/>
        </w:rPr>
        <w:t xml:space="preserve"> که در خطابات احکام ذکر شده است این است که علّت باشند</w:t>
      </w:r>
      <w:r>
        <w:rPr>
          <w:rFonts w:hint="cs"/>
          <w:rtl/>
        </w:rPr>
        <w:t xml:space="preserve"> و مجرد احتمال حکمت بودن موجب رفع ید از ظهور خطاب در تعلیل نمی شود.</w:t>
      </w:r>
      <w:r w:rsidR="003D7A77">
        <w:rPr>
          <w:rStyle w:val="FootnoteReference"/>
          <w:rtl/>
        </w:rPr>
        <w:footnoteReference w:id="10"/>
      </w:r>
    </w:p>
    <w:p w:rsidR="0049764A" w:rsidRDefault="003D406D" w:rsidP="00523ED7">
      <w:pPr>
        <w:pStyle w:val="Heading6"/>
        <w:jc w:val="both"/>
        <w:rPr>
          <w:rtl/>
        </w:rPr>
      </w:pPr>
      <w:bookmarkStart w:id="11" w:name="_Toc532710600"/>
      <w:r>
        <w:rPr>
          <w:rFonts w:hint="cs"/>
          <w:rtl/>
        </w:rPr>
        <w:t>تخلص از اشکال اخیر</w:t>
      </w:r>
      <w:bookmarkEnd w:id="11"/>
    </w:p>
    <w:p w:rsidR="00CC7544" w:rsidRDefault="003D406D" w:rsidP="00523ED7">
      <w:pPr>
        <w:jc w:val="both"/>
        <w:rPr>
          <w:rtl/>
        </w:rPr>
      </w:pPr>
      <w:r>
        <w:rPr>
          <w:rFonts w:hint="cs"/>
          <w:rtl/>
        </w:rPr>
        <w:t xml:space="preserve">مرحوم نائینی </w:t>
      </w:r>
      <w:r w:rsidR="00CC7544">
        <w:rPr>
          <w:rFonts w:hint="cs"/>
          <w:rtl/>
        </w:rPr>
        <w:t>دلیلی</w:t>
      </w:r>
      <w:r>
        <w:rPr>
          <w:rFonts w:hint="cs"/>
          <w:rtl/>
        </w:rPr>
        <w:t xml:space="preserve"> را برای حکمت</w:t>
      </w:r>
      <w:r w:rsidR="00CC7544">
        <w:rPr>
          <w:rFonts w:hint="cs"/>
          <w:rtl/>
        </w:rPr>
        <w:t xml:space="preserve"> بودن در کتاب </w:t>
      </w:r>
      <w:r w:rsidR="00CC7544" w:rsidRPr="00CC7544">
        <w:rPr>
          <w:rFonts w:hint="cs"/>
          <w:i/>
          <w:iCs/>
          <w:rtl/>
        </w:rPr>
        <w:t>«فوائد الاصول»</w:t>
      </w:r>
      <w:r w:rsidR="00CC7544">
        <w:rPr>
          <w:rFonts w:hint="cs"/>
          <w:rtl/>
        </w:rPr>
        <w:t xml:space="preserve"> ذکر کرده است که موجب خروج از قاعده اولیه می شود</w:t>
      </w:r>
      <w:r w:rsidR="005B36A4">
        <w:rPr>
          <w:rFonts w:hint="cs"/>
          <w:rtl/>
        </w:rPr>
        <w:t xml:space="preserve">: </w:t>
      </w:r>
    </w:p>
    <w:p w:rsidR="004F6441" w:rsidRDefault="005B36A4" w:rsidP="00523ED7">
      <w:pPr>
        <w:jc w:val="both"/>
      </w:pPr>
      <w:r>
        <w:rPr>
          <w:rFonts w:hint="cs"/>
          <w:rtl/>
        </w:rPr>
        <w:t>«</w:t>
      </w:r>
      <w:r w:rsidRPr="005B36A4">
        <w:rPr>
          <w:color w:val="0000FF"/>
          <w:rtl/>
        </w:rPr>
        <w:t>بل لا يبعد أن يكون لبيان حكمة التشريع، لأنّ الغالب كون المكلّف حين العمل أذكر من حين الشكّ، فالتعليل ورد مورد الغالب، و في مثله لا يستفاد منه الكبرى الكلّيّة</w:t>
      </w:r>
      <w:r>
        <w:rPr>
          <w:rFonts w:hint="cs"/>
          <w:rtl/>
        </w:rPr>
        <w:t>»</w:t>
      </w:r>
      <w:r w:rsidR="00CC7544">
        <w:rPr>
          <w:rFonts w:hint="cs"/>
          <w:rtl/>
        </w:rPr>
        <w:t>؛</w:t>
      </w:r>
      <w:r>
        <w:rPr>
          <w:rStyle w:val="FootnoteReference"/>
          <w:rtl/>
        </w:rPr>
        <w:footnoteReference w:id="11"/>
      </w:r>
      <w:r w:rsidRPr="005B36A4">
        <w:rPr>
          <w:rFonts w:hint="cs"/>
          <w:rtl/>
        </w:rPr>
        <w:t xml:space="preserve"> </w:t>
      </w:r>
      <w:r w:rsidR="00CC7544">
        <w:rPr>
          <w:rFonts w:hint="cs"/>
          <w:rtl/>
        </w:rPr>
        <w:t xml:space="preserve">یعنی </w:t>
      </w:r>
      <w:r w:rsidR="003D406D">
        <w:rPr>
          <w:rFonts w:hint="cs"/>
          <w:rtl/>
        </w:rPr>
        <w:t>وقتی وجه مذکور در روایت حیثیت غلبه داشته باشد ظهور در علیت و تم</w:t>
      </w:r>
      <w:r w:rsidR="00CC7544">
        <w:rPr>
          <w:rFonts w:hint="cs"/>
          <w:rtl/>
        </w:rPr>
        <w:t xml:space="preserve">ام الموضوع بودن </w:t>
      </w:r>
      <w:r w:rsidR="0087163D">
        <w:rPr>
          <w:rFonts w:hint="cs"/>
          <w:rtl/>
        </w:rPr>
        <w:t>از بین می رود</w:t>
      </w:r>
      <w:r w:rsidR="003D406D">
        <w:rPr>
          <w:rFonts w:hint="cs"/>
          <w:rtl/>
        </w:rPr>
        <w:t xml:space="preserve">. </w:t>
      </w:r>
    </w:p>
    <w:p w:rsidR="00523ED7" w:rsidRDefault="004F6441" w:rsidP="00523ED7">
      <w:pPr>
        <w:jc w:val="both"/>
        <w:rPr>
          <w:rtl/>
        </w:rPr>
      </w:pPr>
      <w:r>
        <w:rPr>
          <w:rFonts w:hint="cs"/>
          <w:rtl/>
        </w:rPr>
        <w:t>مثلا</w:t>
      </w:r>
      <w:r w:rsidR="004E132B" w:rsidRPr="00870682">
        <w:rPr>
          <w:rFonts w:cs="Calibri"/>
          <w:rtl/>
        </w:rPr>
        <w:t>﴿</w:t>
      </w:r>
      <w:r w:rsidR="004E132B" w:rsidRPr="00870682">
        <w:rPr>
          <w:color w:val="008000"/>
          <w:rtl/>
        </w:rPr>
        <w:t>وَ رَبائِبُكُمُ اللَّاتِي فِي حُجُورِكُم‏</w:t>
      </w:r>
      <w:r w:rsidR="004E132B" w:rsidRPr="00523ED7">
        <w:rPr>
          <w:rFonts w:cs="Calibri"/>
          <w:color w:val="008000"/>
          <w:rtl/>
        </w:rPr>
        <w:t>﴾</w:t>
      </w:r>
      <w:r w:rsidR="004E132B" w:rsidRPr="00870682">
        <w:rPr>
          <w:rStyle w:val="FootnoteReference"/>
          <w:rFonts w:cs="Calibri"/>
          <w:color w:val="008000"/>
          <w:rtl/>
        </w:rPr>
        <w:footnoteReference w:id="12"/>
      </w:r>
      <w:r w:rsidR="0087163D">
        <w:rPr>
          <w:rFonts w:cs="Calibri" w:hint="cs"/>
          <w:color w:val="008000"/>
          <w:rtl/>
        </w:rPr>
        <w:t xml:space="preserve">. </w:t>
      </w:r>
      <w:r w:rsidRPr="00523ED7">
        <w:rPr>
          <w:rFonts w:hint="cs"/>
          <w:rtl/>
        </w:rPr>
        <w:t>اگر فرضا کسی سؤال کند که آیا ازدواج با ربیبه جایز است یا خیر. مجیب در جواب بگوید: ربیبه در دامن شوهر دوم زن است(غالبا) لذا به منزله فرزند و بزرگ شده اوست و ازدواج با او معنا ندارد. در نتیجه به فرض این ک</w:t>
      </w:r>
      <w:r w:rsidR="00523ED7">
        <w:rPr>
          <w:rFonts w:hint="cs"/>
          <w:rtl/>
        </w:rPr>
        <w:t xml:space="preserve">ه </w:t>
      </w:r>
      <w:r w:rsidR="00523ED7">
        <w:rPr>
          <w:rFonts w:cs="Calibri"/>
          <w:rtl/>
        </w:rPr>
        <w:t>﴿</w:t>
      </w:r>
      <w:r w:rsidR="00523ED7" w:rsidRPr="00523ED7">
        <w:rPr>
          <w:rFonts w:hint="cs"/>
          <w:rtl/>
        </w:rPr>
        <w:t xml:space="preserve"> </w:t>
      </w:r>
      <w:r w:rsidR="00523ED7" w:rsidRPr="00523ED7">
        <w:rPr>
          <w:color w:val="008000"/>
          <w:rtl/>
        </w:rPr>
        <w:t>اللَّاتِي فِي حُجُورِكُم</w:t>
      </w:r>
      <w:r w:rsidR="00523ED7" w:rsidRPr="00523ED7">
        <w:rPr>
          <w:rFonts w:hint="cs"/>
          <w:color w:val="008000"/>
          <w:rtl/>
        </w:rPr>
        <w:t xml:space="preserve"> </w:t>
      </w:r>
      <w:r w:rsidR="00523ED7" w:rsidRPr="00523ED7">
        <w:rPr>
          <w:rFonts w:cs="Calibri"/>
          <w:color w:val="008000"/>
          <w:rtl/>
        </w:rPr>
        <w:t>﴾</w:t>
      </w:r>
      <w:r w:rsidR="00523ED7">
        <w:rPr>
          <w:rFonts w:cs="Calibri" w:hint="cs"/>
          <w:color w:val="008000"/>
          <w:rtl/>
        </w:rPr>
        <w:t xml:space="preserve"> </w:t>
      </w:r>
      <w:r w:rsidR="00523ED7" w:rsidRPr="00523ED7">
        <w:rPr>
          <w:rFonts w:hint="cs"/>
          <w:rtl/>
        </w:rPr>
        <w:t>د</w:t>
      </w:r>
      <w:r w:rsidRPr="00523ED7">
        <w:rPr>
          <w:rFonts w:hint="cs"/>
          <w:rtl/>
        </w:rPr>
        <w:t xml:space="preserve">ر مقام بیان وجه حکم باشد وجه غالبی است </w:t>
      </w:r>
      <w:r w:rsidR="00523ED7">
        <w:rPr>
          <w:rFonts w:hint="cs"/>
          <w:rtl/>
        </w:rPr>
        <w:t>و ظهور در تمام الموضوع بودن برای حکم ندارد.</w:t>
      </w:r>
    </w:p>
    <w:p w:rsidR="00113BA8" w:rsidRDefault="00523ED7" w:rsidP="00523ED7">
      <w:pPr>
        <w:pStyle w:val="Heading4"/>
        <w:rPr>
          <w:rtl/>
        </w:rPr>
      </w:pPr>
      <w:bookmarkStart w:id="12" w:name="_Toc532710601"/>
      <w:r>
        <w:rPr>
          <w:rFonts w:hint="cs"/>
          <w:rtl/>
        </w:rPr>
        <w:lastRenderedPageBreak/>
        <w:t>تخلص 2(از مناقشه 2)</w:t>
      </w:r>
      <w:bookmarkEnd w:id="12"/>
    </w:p>
    <w:p w:rsidR="00523ED7" w:rsidRDefault="00523ED7" w:rsidP="00A60F2F">
      <w:pPr>
        <w:jc w:val="both"/>
        <w:rPr>
          <w:rtl/>
        </w:rPr>
      </w:pPr>
      <w:r>
        <w:rPr>
          <w:rFonts w:hint="cs"/>
          <w:rtl/>
        </w:rPr>
        <w:t>مرحوم تبریزی</w:t>
      </w:r>
      <w:r w:rsidR="001D2D9A">
        <w:rPr>
          <w:rStyle w:val="FootnoteReference"/>
          <w:rtl/>
        </w:rPr>
        <w:footnoteReference w:id="13"/>
      </w:r>
      <w:r>
        <w:rPr>
          <w:rFonts w:hint="cs"/>
          <w:rtl/>
        </w:rPr>
        <w:t xml:space="preserve"> می فرمایند دلیلی بر تقیید وجود ندارد؛ زیرا از دو روایت بکیر و محمد بن مسلم نمی توان استفاده تقیید کرد. توضیح:</w:t>
      </w:r>
    </w:p>
    <w:p w:rsidR="00523ED7" w:rsidRDefault="00523ED7" w:rsidP="00A60F2F">
      <w:pPr>
        <w:rPr>
          <w:rtl/>
        </w:rPr>
      </w:pPr>
      <w:r w:rsidRPr="00105FBB">
        <w:rPr>
          <w:rFonts w:hint="cs"/>
          <w:b/>
          <w:bCs/>
          <w:rtl/>
        </w:rPr>
        <w:t>روایت بکیر</w:t>
      </w:r>
      <w:r>
        <w:rPr>
          <w:rFonts w:hint="cs"/>
          <w:rtl/>
        </w:rPr>
        <w:t xml:space="preserve">؛ از جهت سندی مضمره است و لذا </w:t>
      </w:r>
      <w:r w:rsidR="00105FBB">
        <w:rPr>
          <w:rFonts w:hint="cs"/>
          <w:rtl/>
        </w:rPr>
        <w:t>مخدوش است. از جهت دلالی هم چون صرفا در مورد وضو وارد شده است لذا ممکن است تعبد به «اذکریت» که در این روایت آمده است اختصاص به وضو داشته باشد کما این که وضو در عدم جریان قاعده تجاوز هم منحصر به فرد است.</w:t>
      </w:r>
    </w:p>
    <w:p w:rsidR="00105FBB" w:rsidRDefault="00105FBB" w:rsidP="001D2D9A">
      <w:pPr>
        <w:rPr>
          <w:rtl/>
        </w:rPr>
      </w:pPr>
      <w:r>
        <w:rPr>
          <w:rFonts w:hint="cs"/>
          <w:b/>
          <w:bCs/>
          <w:rtl/>
        </w:rPr>
        <w:t>صحیحه</w:t>
      </w:r>
      <w:r w:rsidRPr="00105FBB">
        <w:rPr>
          <w:rFonts w:hint="cs"/>
          <w:b/>
          <w:bCs/>
          <w:rtl/>
        </w:rPr>
        <w:t xml:space="preserve"> محمد بن مسلم</w:t>
      </w:r>
      <w:r>
        <w:rPr>
          <w:rFonts w:hint="cs"/>
          <w:rtl/>
        </w:rPr>
        <w:t>؛ از جهت دلالی معلوم نیست ناظر به قاعده فراغ باشد، زیرا ممکن است ناظر به قاعده یقین و عدم اعتناء به شک ساری باشد. مرحوم تبریزی نیز فرمودند این روایت بیشتر دلالت بر قاعده یقین دارد.</w:t>
      </w:r>
      <w:r w:rsidR="001D2D9A">
        <w:rPr>
          <w:rStyle w:val="FootnoteReference"/>
          <w:rtl/>
        </w:rPr>
        <w:footnoteReference w:id="14"/>
      </w:r>
    </w:p>
    <w:p w:rsidR="00105FBB" w:rsidRDefault="00105FBB" w:rsidP="00105FBB">
      <w:pPr>
        <w:pStyle w:val="Heading5"/>
        <w:rPr>
          <w:rtl/>
        </w:rPr>
      </w:pPr>
      <w:bookmarkStart w:id="13" w:name="_Toc532710602"/>
      <w:r>
        <w:rPr>
          <w:rFonts w:hint="cs"/>
          <w:rtl/>
        </w:rPr>
        <w:t>اشکال به تخلص 2</w:t>
      </w:r>
      <w:bookmarkEnd w:id="13"/>
    </w:p>
    <w:p w:rsidR="00105FBB" w:rsidRPr="00210938" w:rsidRDefault="00105FBB" w:rsidP="00D05FEA">
      <w:pPr>
        <w:rPr>
          <w:rtl/>
        </w:rPr>
      </w:pPr>
      <w:r>
        <w:rPr>
          <w:rFonts w:hint="cs"/>
          <w:rtl/>
        </w:rPr>
        <w:t>در مورد روایت بکیر قبلا عرض کردیم که با این که مضمره است لکن با توجه به خصوصیت بکیر که از اجلاء است موجب می شود که از غیر امام ع نقل نکرده باشد. ثانیا نقل محدثین طب</w:t>
      </w:r>
      <w:r w:rsidR="00D05FEA">
        <w:rPr>
          <w:rFonts w:hint="cs"/>
          <w:rtl/>
        </w:rPr>
        <w:t>قات بعد از</w:t>
      </w:r>
      <w:r>
        <w:rPr>
          <w:rFonts w:hint="cs"/>
          <w:rtl/>
        </w:rPr>
        <w:t xml:space="preserve"> </w:t>
      </w:r>
      <w:r w:rsidR="00D05FEA">
        <w:rPr>
          <w:rFonts w:hint="cs"/>
          <w:rtl/>
        </w:rPr>
        <w:t>بکیر شاهد بر این است که او</w:t>
      </w:r>
      <w:r>
        <w:rPr>
          <w:rFonts w:hint="cs"/>
          <w:rtl/>
        </w:rPr>
        <w:t xml:space="preserve"> از معصوم ع نقل کرده است؛ زیرا محدثین روایت را برای عمل کردن نقل می کنند لذا قائل به اعتبار آن هستند. </w:t>
      </w:r>
      <w:r w:rsidR="00210938">
        <w:rPr>
          <w:rFonts w:hint="cs"/>
          <w:rtl/>
        </w:rPr>
        <w:t xml:space="preserve">در مورد اختصاص به باب وضو هم عرض می کنیم که متفاهم عرفی از </w:t>
      </w:r>
      <w:r w:rsidR="00210938" w:rsidRPr="00BD2A20">
        <w:rPr>
          <w:rFonts w:hint="cs"/>
          <w:color w:val="008000"/>
          <w:rtl/>
        </w:rPr>
        <w:t>«</w:t>
      </w:r>
      <w:r w:rsidR="00210938" w:rsidRPr="00E73F27">
        <w:rPr>
          <w:color w:val="008000"/>
          <w:rtl/>
        </w:rPr>
        <w:t>هُوَ حِينَ يَتَوَضَّأُ أَذْكَرُ مِنْهُ حِينَ يَشُك‏</w:t>
      </w:r>
      <w:r w:rsidR="00210938" w:rsidRPr="00BD2A20">
        <w:rPr>
          <w:rFonts w:hint="cs"/>
          <w:color w:val="008000"/>
          <w:rtl/>
        </w:rPr>
        <w:t>»</w:t>
      </w:r>
      <w:r w:rsidR="00210938">
        <w:rPr>
          <w:rFonts w:hint="cs"/>
          <w:color w:val="008000"/>
          <w:rtl/>
        </w:rPr>
        <w:t xml:space="preserve"> </w:t>
      </w:r>
      <w:r w:rsidR="00210938" w:rsidRPr="00210938">
        <w:rPr>
          <w:rFonts w:hint="cs"/>
          <w:rtl/>
        </w:rPr>
        <w:t>عدم اختصاص ذیل روایت به وضو است.</w:t>
      </w:r>
    </w:p>
    <w:p w:rsidR="00210938" w:rsidRDefault="00210938" w:rsidP="00210938">
      <w:pPr>
        <w:rPr>
          <w:rtl/>
        </w:rPr>
      </w:pPr>
      <w:r w:rsidRPr="00210938">
        <w:rPr>
          <w:rFonts w:hint="cs"/>
          <w:rtl/>
        </w:rPr>
        <w:t>در مورد روایت محمد بن مسلم هم قبلا عرض کردیم که ظهور در قاعده فراغ دارد.</w:t>
      </w:r>
    </w:p>
    <w:p w:rsidR="00210938" w:rsidRDefault="00210938" w:rsidP="006113AA">
      <w:pPr>
        <w:rPr>
          <w:rtl/>
        </w:rPr>
      </w:pPr>
      <w:r w:rsidRPr="00E43944">
        <w:rPr>
          <w:rFonts w:hint="cs"/>
          <w:highlight w:val="yellow"/>
          <w:rtl/>
        </w:rPr>
        <w:t xml:space="preserve">نتیجه این شد که </w:t>
      </w:r>
      <w:r w:rsidR="0093395F" w:rsidRPr="00E43944">
        <w:rPr>
          <w:rFonts w:hint="cs"/>
          <w:highlight w:val="yellow"/>
          <w:rtl/>
        </w:rPr>
        <w:t>اطلاق در موثقه محمد بن مسلم</w:t>
      </w:r>
      <w:r w:rsidR="00E43944" w:rsidRPr="00E43944">
        <w:rPr>
          <w:rFonts w:hint="cs"/>
          <w:highlight w:val="yellow"/>
          <w:rtl/>
        </w:rPr>
        <w:t>«</w:t>
      </w:r>
      <w:r w:rsidR="00E43944" w:rsidRPr="00E43944">
        <w:rPr>
          <w:color w:val="008000"/>
          <w:highlight w:val="yellow"/>
          <w:rtl/>
        </w:rPr>
        <w:t xml:space="preserve"> كُلُّ مَا شَكَكْتَ فِيهِ مِمَّا قَدْ مَضَى فَامْضِهِ كَمَا هُو</w:t>
      </w:r>
      <w:r w:rsidR="00E43944" w:rsidRPr="00E43944">
        <w:rPr>
          <w:rFonts w:hint="cs"/>
          <w:highlight w:val="yellow"/>
          <w:rtl/>
        </w:rPr>
        <w:t xml:space="preserve">»، </w:t>
      </w:r>
      <w:r w:rsidR="0093395F" w:rsidRPr="00E43944">
        <w:rPr>
          <w:rFonts w:hint="cs"/>
          <w:highlight w:val="yellow"/>
          <w:rtl/>
        </w:rPr>
        <w:t xml:space="preserve"> تمام است.</w:t>
      </w:r>
      <w:r w:rsidR="00E43944" w:rsidRPr="00E43944">
        <w:rPr>
          <w:rFonts w:hint="cs"/>
          <w:highlight w:val="yellow"/>
          <w:rtl/>
        </w:rPr>
        <w:t xml:space="preserve"> لکن</w:t>
      </w:r>
      <w:r w:rsidR="0093395F" w:rsidRPr="00E43944">
        <w:rPr>
          <w:rFonts w:hint="cs"/>
          <w:highlight w:val="yellow"/>
          <w:rtl/>
        </w:rPr>
        <w:t xml:space="preserve"> در مقابل</w:t>
      </w:r>
      <w:r w:rsidR="00E43944" w:rsidRPr="00E43944">
        <w:rPr>
          <w:rFonts w:hint="cs"/>
          <w:highlight w:val="yellow"/>
          <w:rtl/>
        </w:rPr>
        <w:t xml:space="preserve"> آن دو روایت دال بر تقیید داریم</w:t>
      </w:r>
      <w:r w:rsidR="0093395F" w:rsidRPr="00E43944">
        <w:rPr>
          <w:rFonts w:hint="cs"/>
          <w:highlight w:val="yellow"/>
          <w:rtl/>
        </w:rPr>
        <w:t xml:space="preserve"> که صلاحیت تقیید ندار</w:t>
      </w:r>
      <w:r w:rsidR="00E43944" w:rsidRPr="00E43944">
        <w:rPr>
          <w:rFonts w:hint="cs"/>
          <w:highlight w:val="yellow"/>
          <w:rtl/>
        </w:rPr>
        <w:t>ن</w:t>
      </w:r>
      <w:r w:rsidR="0093395F" w:rsidRPr="00E43944">
        <w:rPr>
          <w:rFonts w:hint="cs"/>
          <w:highlight w:val="yellow"/>
          <w:rtl/>
        </w:rPr>
        <w:t>د(به همان بیانی که مرحوم نائینی کردند).</w:t>
      </w:r>
      <w:r w:rsidR="00E43944" w:rsidRPr="00E43944">
        <w:rPr>
          <w:rFonts w:hint="cs"/>
          <w:highlight w:val="yellow"/>
          <w:rtl/>
        </w:rPr>
        <w:t xml:space="preserve"> </w:t>
      </w:r>
      <w:r w:rsidR="00E43944">
        <w:rPr>
          <w:rFonts w:hint="cs"/>
          <w:rtl/>
        </w:rPr>
        <w:t xml:space="preserve">لکن به فرض این که اشکال مرحوم نائینی به این دو روایت وارد نباشد و ذیل این دو ظهور در علیت داشته باشد لکن روایتی از حسین بن ابی العلاء در دست است که صریح در </w:t>
      </w:r>
      <w:r w:rsidR="006113AA">
        <w:rPr>
          <w:rFonts w:hint="cs"/>
          <w:rtl/>
        </w:rPr>
        <w:t>جریان قاعده فراغ در وضو (در فرض علم به غفلت ) است.</w:t>
      </w:r>
    </w:p>
    <w:p w:rsidR="006113AA" w:rsidRDefault="006113AA" w:rsidP="006113AA">
      <w:pPr>
        <w:pStyle w:val="Heading1"/>
        <w:rPr>
          <w:rtl/>
        </w:rPr>
      </w:pPr>
      <w:bookmarkStart w:id="14" w:name="_Toc532710603"/>
      <w:r>
        <w:rPr>
          <w:rFonts w:hint="cs"/>
          <w:rtl/>
        </w:rPr>
        <w:t>خلاصه جلسه</w:t>
      </w:r>
      <w:bookmarkEnd w:id="14"/>
    </w:p>
    <w:p w:rsidR="006113AA" w:rsidRDefault="00E00308" w:rsidP="001D2D9A">
      <w:pPr>
        <w:jc w:val="both"/>
        <w:rPr>
          <w:rtl/>
        </w:rPr>
      </w:pPr>
      <w:r>
        <w:rPr>
          <w:rFonts w:hint="cs"/>
          <w:rtl/>
        </w:rPr>
        <w:t>دلیل قائلین به عدم اشتراط احتمال التفات:</w:t>
      </w:r>
      <w:r w:rsidR="00A25993">
        <w:rPr>
          <w:rFonts w:hint="cs"/>
          <w:rtl/>
        </w:rPr>
        <w:t xml:space="preserve"> وجود دلیل مطلق و عدم وجود قید. مناقشه1: دلیل مطلق امضائی است و سیره دائر مدار اصل عدم غفلت است. تخلص: سیره موافق موجب امضائی بودن نمی شود. مناقشه 2: دو روایت مقیِّد وجود دارد. </w:t>
      </w:r>
      <w:r w:rsidR="00A25993">
        <w:rPr>
          <w:rFonts w:hint="cs"/>
          <w:rtl/>
        </w:rPr>
        <w:lastRenderedPageBreak/>
        <w:t>تخلص: ذیل این دو روایت علت نیست بلکه حکمت است. اشکال به تخلص: اصل اولی، علت بودن است و حمل بر حکمت دلیل می خواهد. تخلص از اشکال اخیر: غالبی بودن وجه مذکور دلیل بر علت نبودن است. تخلص 2 از مناقشه 2: روایت بکیر سندا و دلالتا</w:t>
      </w:r>
      <w:r w:rsidR="00A25993" w:rsidRPr="00A25993">
        <w:rPr>
          <w:rFonts w:hint="cs"/>
          <w:rtl/>
        </w:rPr>
        <w:t xml:space="preserve"> </w:t>
      </w:r>
      <w:r w:rsidR="00A25993">
        <w:rPr>
          <w:rFonts w:hint="cs"/>
          <w:rtl/>
        </w:rPr>
        <w:t>و صحیحه محمد بن مسلم دلاله قابل استفاده در</w:t>
      </w:r>
      <w:bookmarkStart w:id="15" w:name="_GoBack"/>
      <w:bookmarkEnd w:id="15"/>
      <w:r w:rsidR="00A25993">
        <w:rPr>
          <w:rFonts w:hint="cs"/>
          <w:rtl/>
        </w:rPr>
        <w:t xml:space="preserve"> این جا نیستند. اشکال به تخلص 2: </w:t>
      </w:r>
      <w:r w:rsidR="00EE0612">
        <w:rPr>
          <w:rFonts w:hint="cs"/>
          <w:rtl/>
        </w:rPr>
        <w:t>سند و دلالت هر دو تمام است.</w:t>
      </w:r>
      <w:r w:rsidR="00221858">
        <w:rPr>
          <w:rStyle w:val="FootnoteReference"/>
          <w:rtl/>
        </w:rPr>
        <w:footnoteReference w:id="15"/>
      </w:r>
    </w:p>
    <w:p w:rsidR="003B4F9B" w:rsidRPr="00210938" w:rsidRDefault="003B4F9B" w:rsidP="001D2D9A">
      <w:pPr>
        <w:jc w:val="both"/>
        <w:rPr>
          <w:rtl/>
        </w:rPr>
      </w:pPr>
    </w:p>
    <w:sectPr w:rsidR="003B4F9B" w:rsidRPr="00210938"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E5" w:rsidRDefault="00084AE5" w:rsidP="008B750B">
      <w:pPr>
        <w:spacing w:line="240" w:lineRule="auto"/>
      </w:pPr>
      <w:r>
        <w:separator/>
      </w:r>
    </w:p>
  </w:endnote>
  <w:endnote w:type="continuationSeparator" w:id="0">
    <w:p w:rsidR="00084AE5" w:rsidRDefault="00084AE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05FEA" w:rsidRPr="00D05FEA">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6424ED" w:rsidP="001B6799">
          <w:pPr>
            <w:pStyle w:val="Footer"/>
            <w:bidi w:val="0"/>
            <w:rPr>
              <w:color w:val="808080" w:themeColor="background1" w:themeShade="80"/>
              <w:rtl/>
            </w:rPr>
          </w:pPr>
          <w:bookmarkStart w:id="23" w:name="BokAdres"/>
          <w:bookmarkEnd w:id="23"/>
          <w:r>
            <w:rPr>
              <w:color w:val="808080" w:themeColor="background1" w:themeShade="80"/>
            </w:rPr>
            <w:t>U1hs1_13970921-045_mr3_mfeb.ir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E5" w:rsidRDefault="00084AE5" w:rsidP="008B750B">
      <w:pPr>
        <w:spacing w:line="240" w:lineRule="auto"/>
      </w:pPr>
      <w:r>
        <w:separator/>
      </w:r>
    </w:p>
  </w:footnote>
  <w:footnote w:type="continuationSeparator" w:id="0">
    <w:p w:rsidR="00084AE5" w:rsidRDefault="00084AE5" w:rsidP="008B750B">
      <w:pPr>
        <w:spacing w:line="240" w:lineRule="auto"/>
      </w:pPr>
      <w:r>
        <w:continuationSeparator/>
      </w:r>
    </w:p>
  </w:footnote>
  <w:footnote w:id="1">
    <w:p w:rsidR="00711707" w:rsidRPr="00E73F27" w:rsidRDefault="00711707" w:rsidP="00711707">
      <w:pPr>
        <w:pStyle w:val="FootnoteText"/>
      </w:pPr>
      <w:r w:rsidRPr="00E73F27">
        <w:footnoteRef/>
      </w:r>
      <w:r w:rsidRPr="00E73F27">
        <w:rPr>
          <w:rtl/>
        </w:rPr>
        <w:t xml:space="preserve"> </w:t>
      </w:r>
      <w:hyperlink r:id="rId1" w:history="1">
        <w:r w:rsidRPr="00E73F27">
          <w:rPr>
            <w:rStyle w:val="Hyperlink"/>
            <w:rtl/>
          </w:rPr>
          <w:t>وسائل الش</w:t>
        </w:r>
        <w:r w:rsidRPr="00E73F27">
          <w:rPr>
            <w:rStyle w:val="Hyperlink"/>
            <w:rFonts w:hint="cs"/>
            <w:rtl/>
          </w:rPr>
          <w:t>ی</w:t>
        </w:r>
        <w:r w:rsidRPr="00E73F27">
          <w:rPr>
            <w:rStyle w:val="Hyperlink"/>
            <w:rFonts w:hint="eastAsia"/>
            <w:rtl/>
          </w:rPr>
          <w:t>عة،</w:t>
        </w:r>
        <w:r w:rsidRPr="00E73F27">
          <w:rPr>
            <w:rStyle w:val="Hyperlink"/>
            <w:rtl/>
          </w:rPr>
          <w:t xml:space="preserve"> الش</w:t>
        </w:r>
        <w:r w:rsidRPr="00E73F27">
          <w:rPr>
            <w:rStyle w:val="Hyperlink"/>
            <w:rFonts w:hint="cs"/>
            <w:rtl/>
          </w:rPr>
          <w:t>ی</w:t>
        </w:r>
        <w:r w:rsidRPr="00E73F27">
          <w:rPr>
            <w:rStyle w:val="Hyperlink"/>
            <w:rFonts w:hint="eastAsia"/>
            <w:rtl/>
          </w:rPr>
          <w:t>خ</w:t>
        </w:r>
        <w:r w:rsidRPr="00E73F27">
          <w:rPr>
            <w:rStyle w:val="Hyperlink"/>
            <w:rtl/>
          </w:rPr>
          <w:t xml:space="preserve"> الحر العاملي، ج8، ص237، أبواب الْخَلَلِ الْوَاقِعِ فِي الصَّلَاة، باب23، ح3، ط آل البيت.</w:t>
        </w:r>
      </w:hyperlink>
    </w:p>
  </w:footnote>
  <w:footnote w:id="2">
    <w:p w:rsidR="003D7A77" w:rsidRPr="00E73F27" w:rsidRDefault="003D7A77" w:rsidP="003D7A77">
      <w:pPr>
        <w:pStyle w:val="FootnoteText"/>
      </w:pPr>
      <w:r w:rsidRPr="00E73F27">
        <w:footnoteRef/>
      </w:r>
      <w:r w:rsidRPr="00E73F27">
        <w:rPr>
          <w:rtl/>
        </w:rPr>
        <w:t xml:space="preserve"> </w:t>
      </w:r>
      <w:hyperlink r:id="rId2" w:history="1">
        <w:r w:rsidRPr="00E73F27">
          <w:rPr>
            <w:rStyle w:val="Hyperlink"/>
            <w:rtl/>
          </w:rPr>
          <w:t>وسائل الش</w:t>
        </w:r>
        <w:r w:rsidRPr="00E73F27">
          <w:rPr>
            <w:rStyle w:val="Hyperlink"/>
            <w:rFonts w:hint="cs"/>
            <w:rtl/>
          </w:rPr>
          <w:t>ی</w:t>
        </w:r>
        <w:r w:rsidRPr="00E73F27">
          <w:rPr>
            <w:rStyle w:val="Hyperlink"/>
            <w:rFonts w:hint="eastAsia"/>
            <w:rtl/>
          </w:rPr>
          <w:t>عة،</w:t>
        </w:r>
        <w:r w:rsidRPr="00E73F27">
          <w:rPr>
            <w:rStyle w:val="Hyperlink"/>
            <w:rtl/>
          </w:rPr>
          <w:t xml:space="preserve"> الش</w:t>
        </w:r>
        <w:r w:rsidRPr="00E73F27">
          <w:rPr>
            <w:rStyle w:val="Hyperlink"/>
            <w:rFonts w:hint="cs"/>
            <w:rtl/>
          </w:rPr>
          <w:t>ی</w:t>
        </w:r>
        <w:r w:rsidRPr="00E73F27">
          <w:rPr>
            <w:rStyle w:val="Hyperlink"/>
            <w:rFonts w:hint="eastAsia"/>
            <w:rtl/>
          </w:rPr>
          <w:t>خ</w:t>
        </w:r>
        <w:r w:rsidRPr="00E73F27">
          <w:rPr>
            <w:rStyle w:val="Hyperlink"/>
            <w:rtl/>
          </w:rPr>
          <w:t xml:space="preserve"> الحر العاملي، ج1، ص471، أبواب الْوُضُوء، باب42، ح7، ط آل البيت.</w:t>
        </w:r>
      </w:hyperlink>
    </w:p>
  </w:footnote>
  <w:footnote w:id="3">
    <w:p w:rsidR="003D7A77" w:rsidRPr="00E73F27" w:rsidRDefault="003D7A77" w:rsidP="003D7A77">
      <w:pPr>
        <w:pStyle w:val="FootnoteText"/>
      </w:pPr>
      <w:r w:rsidRPr="00E73F27">
        <w:footnoteRef/>
      </w:r>
      <w:r w:rsidRPr="00E73F27">
        <w:rPr>
          <w:rtl/>
        </w:rPr>
        <w:t xml:space="preserve"> </w:t>
      </w:r>
      <w:hyperlink r:id="rId3" w:history="1">
        <w:r w:rsidRPr="00E73F27">
          <w:rPr>
            <w:rStyle w:val="Hyperlink"/>
            <w:rtl/>
          </w:rPr>
          <w:t>وسائل الش</w:t>
        </w:r>
        <w:r w:rsidRPr="00E73F27">
          <w:rPr>
            <w:rStyle w:val="Hyperlink"/>
            <w:rFonts w:hint="cs"/>
            <w:rtl/>
          </w:rPr>
          <w:t>ی</w:t>
        </w:r>
        <w:r w:rsidRPr="00E73F27">
          <w:rPr>
            <w:rStyle w:val="Hyperlink"/>
            <w:rFonts w:hint="eastAsia"/>
            <w:rtl/>
          </w:rPr>
          <w:t>عة،</w:t>
        </w:r>
        <w:r w:rsidRPr="00E73F27">
          <w:rPr>
            <w:rStyle w:val="Hyperlink"/>
            <w:rtl/>
          </w:rPr>
          <w:t xml:space="preserve"> الش</w:t>
        </w:r>
        <w:r w:rsidRPr="00E73F27">
          <w:rPr>
            <w:rStyle w:val="Hyperlink"/>
            <w:rFonts w:hint="cs"/>
            <w:rtl/>
          </w:rPr>
          <w:t>ی</w:t>
        </w:r>
        <w:r w:rsidRPr="00E73F27">
          <w:rPr>
            <w:rStyle w:val="Hyperlink"/>
            <w:rFonts w:hint="eastAsia"/>
            <w:rtl/>
          </w:rPr>
          <w:t>خ</w:t>
        </w:r>
        <w:r w:rsidRPr="00E73F27">
          <w:rPr>
            <w:rStyle w:val="Hyperlink"/>
            <w:rtl/>
          </w:rPr>
          <w:t xml:space="preserve"> الحر العاملي، ج8، ص246، أبواب الْخَلَلِ الْوَاقِعِ فِي الصَّلَاة، باب27، ح3، ط آل البيت.</w:t>
        </w:r>
      </w:hyperlink>
    </w:p>
  </w:footnote>
  <w:footnote w:id="4">
    <w:p w:rsidR="00230EB1" w:rsidRPr="00046688" w:rsidRDefault="00230EB1" w:rsidP="00230EB1">
      <w:pPr>
        <w:pStyle w:val="FootnoteText"/>
      </w:pPr>
      <w:r w:rsidRPr="00046688">
        <w:footnoteRef/>
      </w:r>
      <w:r w:rsidRPr="00046688">
        <w:rPr>
          <w:rtl/>
        </w:rPr>
        <w:t xml:space="preserve"> </w:t>
      </w:r>
      <w:hyperlink r:id="rId4" w:history="1">
        <w:r w:rsidRPr="00046688">
          <w:rPr>
            <w:rStyle w:val="Hyperlink"/>
            <w:rtl/>
          </w:rPr>
          <w:t>مصباح الاصول، الس</w:t>
        </w:r>
        <w:r w:rsidRPr="00046688">
          <w:rPr>
            <w:rStyle w:val="Hyperlink"/>
            <w:rFonts w:hint="cs"/>
            <w:rtl/>
          </w:rPr>
          <w:t>ی</w:t>
        </w:r>
        <w:r w:rsidRPr="00046688">
          <w:rPr>
            <w:rStyle w:val="Hyperlink"/>
            <w:rFonts w:hint="eastAsia"/>
            <w:rtl/>
          </w:rPr>
          <w:t>د</w:t>
        </w:r>
        <w:r w:rsidRPr="00046688">
          <w:rPr>
            <w:rStyle w:val="Hyperlink"/>
            <w:rtl/>
          </w:rPr>
          <w:t xml:space="preserve"> أبوالقاسم الخوئ</w:t>
        </w:r>
        <w:r w:rsidRPr="00046688">
          <w:rPr>
            <w:rStyle w:val="Hyperlink"/>
            <w:rFonts w:hint="cs"/>
            <w:rtl/>
          </w:rPr>
          <w:t>ی</w:t>
        </w:r>
        <w:r w:rsidRPr="00046688">
          <w:rPr>
            <w:rStyle w:val="Hyperlink"/>
            <w:rFonts w:hint="eastAsia"/>
            <w:rtl/>
          </w:rPr>
          <w:t>،</w:t>
        </w:r>
        <w:r w:rsidRPr="00046688">
          <w:rPr>
            <w:rStyle w:val="Hyperlink"/>
            <w:rtl/>
          </w:rPr>
          <w:t xml:space="preserve"> ج2، ص367.</w:t>
        </w:r>
      </w:hyperlink>
    </w:p>
  </w:footnote>
  <w:footnote w:id="5">
    <w:p w:rsidR="00230EB1" w:rsidRPr="00230EB1" w:rsidRDefault="00230EB1" w:rsidP="00230EB1">
      <w:pPr>
        <w:pStyle w:val="FootnoteText"/>
      </w:pPr>
      <w:r w:rsidRPr="00230EB1">
        <w:footnoteRef/>
      </w:r>
      <w:r w:rsidRPr="00230EB1">
        <w:rPr>
          <w:rtl/>
        </w:rPr>
        <w:t xml:space="preserve"> </w:t>
      </w:r>
      <w:hyperlink r:id="rId5" w:history="1">
        <w:r w:rsidRPr="00230EB1">
          <w:rPr>
            <w:rStyle w:val="Hyperlink"/>
            <w:rtl/>
          </w:rPr>
          <w:t>الاستصحاب، الس</w:t>
        </w:r>
        <w:r w:rsidRPr="00230EB1">
          <w:rPr>
            <w:rStyle w:val="Hyperlink"/>
            <w:rFonts w:hint="cs"/>
            <w:rtl/>
          </w:rPr>
          <w:t>ی</w:t>
        </w:r>
        <w:r w:rsidRPr="00230EB1">
          <w:rPr>
            <w:rStyle w:val="Hyperlink"/>
            <w:rFonts w:hint="eastAsia"/>
            <w:rtl/>
          </w:rPr>
          <w:t>د</w:t>
        </w:r>
        <w:r w:rsidRPr="00230EB1">
          <w:rPr>
            <w:rStyle w:val="Hyperlink"/>
            <w:rtl/>
          </w:rPr>
          <w:t xml:space="preserve"> روح الله الموسو</w:t>
        </w:r>
        <w:r w:rsidRPr="00230EB1">
          <w:rPr>
            <w:rStyle w:val="Hyperlink"/>
            <w:rFonts w:hint="cs"/>
            <w:rtl/>
          </w:rPr>
          <w:t>ی</w:t>
        </w:r>
        <w:r w:rsidRPr="00230EB1">
          <w:rPr>
            <w:rStyle w:val="Hyperlink"/>
            <w:rtl/>
          </w:rPr>
          <w:t xml:space="preserve"> الخم</w:t>
        </w:r>
        <w:r w:rsidRPr="00230EB1">
          <w:rPr>
            <w:rStyle w:val="Hyperlink"/>
            <w:rFonts w:hint="cs"/>
            <w:rtl/>
          </w:rPr>
          <w:t>ی</w:t>
        </w:r>
        <w:r w:rsidRPr="00230EB1">
          <w:rPr>
            <w:rStyle w:val="Hyperlink"/>
            <w:rFonts w:hint="eastAsia"/>
            <w:rtl/>
          </w:rPr>
          <w:t>ن</w:t>
        </w:r>
        <w:r w:rsidRPr="00230EB1">
          <w:rPr>
            <w:rStyle w:val="Hyperlink"/>
            <w:rFonts w:hint="cs"/>
            <w:rtl/>
          </w:rPr>
          <w:t>ی</w:t>
        </w:r>
        <w:r w:rsidRPr="00230EB1">
          <w:rPr>
            <w:rStyle w:val="Hyperlink"/>
            <w:rFonts w:hint="eastAsia"/>
            <w:rtl/>
          </w:rPr>
          <w:t>،</w:t>
        </w:r>
        <w:r w:rsidRPr="00230EB1">
          <w:rPr>
            <w:rStyle w:val="Hyperlink"/>
            <w:rtl/>
          </w:rPr>
          <w:t xml:space="preserve"> ج النص، ص347.</w:t>
        </w:r>
      </w:hyperlink>
    </w:p>
  </w:footnote>
  <w:footnote w:id="6">
    <w:p w:rsidR="00113BA8" w:rsidRPr="00E73F27" w:rsidRDefault="00113BA8" w:rsidP="00113BA8">
      <w:pPr>
        <w:pStyle w:val="FootnoteText"/>
      </w:pPr>
      <w:r w:rsidRPr="00E73F27">
        <w:footnoteRef/>
      </w:r>
      <w:r w:rsidRPr="00E73F27">
        <w:rPr>
          <w:rtl/>
        </w:rPr>
        <w:t xml:space="preserve"> </w:t>
      </w:r>
      <w:hyperlink r:id="rId6" w:history="1">
        <w:r w:rsidRPr="00E73F27">
          <w:rPr>
            <w:rStyle w:val="Hyperlink"/>
            <w:rtl/>
          </w:rPr>
          <w:t>وسائل الش</w:t>
        </w:r>
        <w:r w:rsidRPr="00E73F27">
          <w:rPr>
            <w:rStyle w:val="Hyperlink"/>
            <w:rFonts w:hint="cs"/>
            <w:rtl/>
          </w:rPr>
          <w:t>ی</w:t>
        </w:r>
        <w:r w:rsidRPr="00E73F27">
          <w:rPr>
            <w:rStyle w:val="Hyperlink"/>
            <w:rFonts w:hint="eastAsia"/>
            <w:rtl/>
          </w:rPr>
          <w:t>عة،</w:t>
        </w:r>
        <w:r w:rsidRPr="00E73F27">
          <w:rPr>
            <w:rStyle w:val="Hyperlink"/>
            <w:rtl/>
          </w:rPr>
          <w:t xml:space="preserve"> الش</w:t>
        </w:r>
        <w:r w:rsidRPr="00E73F27">
          <w:rPr>
            <w:rStyle w:val="Hyperlink"/>
            <w:rFonts w:hint="cs"/>
            <w:rtl/>
          </w:rPr>
          <w:t>ی</w:t>
        </w:r>
        <w:r w:rsidRPr="00E73F27">
          <w:rPr>
            <w:rStyle w:val="Hyperlink"/>
            <w:rFonts w:hint="eastAsia"/>
            <w:rtl/>
          </w:rPr>
          <w:t>خ</w:t>
        </w:r>
        <w:r w:rsidRPr="00E73F27">
          <w:rPr>
            <w:rStyle w:val="Hyperlink"/>
            <w:rtl/>
          </w:rPr>
          <w:t xml:space="preserve"> الحر العاملي، ج1، ص471، أبواب الْوُضُوء، باب42، ح7، ط آل البيت.</w:t>
        </w:r>
      </w:hyperlink>
    </w:p>
  </w:footnote>
  <w:footnote w:id="7">
    <w:p w:rsidR="00113BA8" w:rsidRPr="00E73F27" w:rsidRDefault="00113BA8" w:rsidP="00113BA8">
      <w:pPr>
        <w:pStyle w:val="FootnoteText"/>
      </w:pPr>
      <w:r w:rsidRPr="00E73F27">
        <w:footnoteRef/>
      </w:r>
      <w:r w:rsidRPr="00E73F27">
        <w:rPr>
          <w:rtl/>
        </w:rPr>
        <w:t xml:space="preserve"> </w:t>
      </w:r>
      <w:hyperlink r:id="rId7" w:history="1">
        <w:r w:rsidRPr="00E73F27">
          <w:rPr>
            <w:rStyle w:val="Hyperlink"/>
            <w:rtl/>
          </w:rPr>
          <w:t>وسائل الش</w:t>
        </w:r>
        <w:r w:rsidRPr="00E73F27">
          <w:rPr>
            <w:rStyle w:val="Hyperlink"/>
            <w:rFonts w:hint="cs"/>
            <w:rtl/>
          </w:rPr>
          <w:t>ی</w:t>
        </w:r>
        <w:r w:rsidRPr="00E73F27">
          <w:rPr>
            <w:rStyle w:val="Hyperlink"/>
            <w:rFonts w:hint="eastAsia"/>
            <w:rtl/>
          </w:rPr>
          <w:t>عة،</w:t>
        </w:r>
        <w:r w:rsidRPr="00E73F27">
          <w:rPr>
            <w:rStyle w:val="Hyperlink"/>
            <w:rtl/>
          </w:rPr>
          <w:t xml:space="preserve"> الش</w:t>
        </w:r>
        <w:r w:rsidRPr="00E73F27">
          <w:rPr>
            <w:rStyle w:val="Hyperlink"/>
            <w:rFonts w:hint="cs"/>
            <w:rtl/>
          </w:rPr>
          <w:t>ی</w:t>
        </w:r>
        <w:r w:rsidRPr="00E73F27">
          <w:rPr>
            <w:rStyle w:val="Hyperlink"/>
            <w:rFonts w:hint="eastAsia"/>
            <w:rtl/>
          </w:rPr>
          <w:t>خ</w:t>
        </w:r>
        <w:r w:rsidRPr="00E73F27">
          <w:rPr>
            <w:rStyle w:val="Hyperlink"/>
            <w:rtl/>
          </w:rPr>
          <w:t xml:space="preserve"> الحر العاملي، ج8، ص246، أبواب الْخَلَلِ الْوَاقِعِ فِي الصَّلَاة، باب27، ح3، ط آل البيت.</w:t>
        </w:r>
      </w:hyperlink>
    </w:p>
  </w:footnote>
  <w:footnote w:id="8">
    <w:p w:rsidR="003D7A77" w:rsidRPr="003D7A77" w:rsidRDefault="003D7A77" w:rsidP="003D7A77">
      <w:pPr>
        <w:pStyle w:val="FootnoteText"/>
      </w:pPr>
      <w:r w:rsidRPr="003D7A77">
        <w:footnoteRef/>
      </w:r>
      <w:r w:rsidRPr="003D7A77">
        <w:rPr>
          <w:rtl/>
        </w:rPr>
        <w:t xml:space="preserve"> </w:t>
      </w:r>
      <w:hyperlink r:id="rId8" w:history="1">
        <w:r w:rsidRPr="003D7A77">
          <w:rPr>
            <w:rStyle w:val="Hyperlink"/>
            <w:rFonts w:hint="eastAsia"/>
            <w:rtl/>
          </w:rPr>
          <w:t>مصباح</w:t>
        </w:r>
        <w:r w:rsidRPr="003D7A77">
          <w:rPr>
            <w:rStyle w:val="Hyperlink"/>
            <w:rtl/>
          </w:rPr>
          <w:t xml:space="preserve"> الاصول، الس</w:t>
        </w:r>
        <w:r w:rsidRPr="003D7A77">
          <w:rPr>
            <w:rStyle w:val="Hyperlink"/>
            <w:rFonts w:hint="cs"/>
            <w:rtl/>
          </w:rPr>
          <w:t>ی</w:t>
        </w:r>
        <w:r w:rsidRPr="003D7A77">
          <w:rPr>
            <w:rStyle w:val="Hyperlink"/>
            <w:rFonts w:hint="eastAsia"/>
            <w:rtl/>
          </w:rPr>
          <w:t>د</w:t>
        </w:r>
        <w:r w:rsidRPr="003D7A77">
          <w:rPr>
            <w:rStyle w:val="Hyperlink"/>
            <w:rtl/>
          </w:rPr>
          <w:t xml:space="preserve"> أبوالقاسم الخوئ</w:t>
        </w:r>
        <w:r w:rsidRPr="003D7A77">
          <w:rPr>
            <w:rStyle w:val="Hyperlink"/>
            <w:rFonts w:hint="cs"/>
            <w:rtl/>
          </w:rPr>
          <w:t>ی</w:t>
        </w:r>
        <w:r w:rsidRPr="003D7A77">
          <w:rPr>
            <w:rStyle w:val="Hyperlink"/>
            <w:rFonts w:hint="eastAsia"/>
            <w:rtl/>
          </w:rPr>
          <w:t>،</w:t>
        </w:r>
        <w:r w:rsidRPr="003D7A77">
          <w:rPr>
            <w:rStyle w:val="Hyperlink"/>
            <w:rtl/>
          </w:rPr>
          <w:t xml:space="preserve"> ج2، ص367.</w:t>
        </w:r>
      </w:hyperlink>
    </w:p>
  </w:footnote>
  <w:footnote w:id="9">
    <w:p w:rsidR="005B36A4" w:rsidRPr="005B36A4" w:rsidRDefault="005B36A4" w:rsidP="005B36A4">
      <w:pPr>
        <w:pStyle w:val="FootnoteText"/>
      </w:pPr>
      <w:r w:rsidRPr="005B36A4">
        <w:footnoteRef/>
      </w:r>
      <w:r w:rsidRPr="005B36A4">
        <w:rPr>
          <w:rtl/>
        </w:rPr>
        <w:t xml:space="preserve"> </w:t>
      </w:r>
      <w:hyperlink r:id="rId9" w:history="1">
        <w:r w:rsidRPr="005B36A4">
          <w:rPr>
            <w:rStyle w:val="Hyperlink"/>
            <w:rtl/>
          </w:rPr>
          <w:t>اجود التقر</w:t>
        </w:r>
        <w:r w:rsidRPr="005B36A4">
          <w:rPr>
            <w:rStyle w:val="Hyperlink"/>
            <w:rFonts w:hint="cs"/>
            <w:rtl/>
          </w:rPr>
          <w:t>ی</w:t>
        </w:r>
        <w:r w:rsidRPr="005B36A4">
          <w:rPr>
            <w:rStyle w:val="Hyperlink"/>
            <w:rFonts w:hint="eastAsia"/>
            <w:rtl/>
          </w:rPr>
          <w:t>رات،</w:t>
        </w:r>
        <w:r w:rsidRPr="005B36A4">
          <w:rPr>
            <w:rStyle w:val="Hyperlink"/>
            <w:rtl/>
          </w:rPr>
          <w:t xml:space="preserve"> نائ</w:t>
        </w:r>
        <w:r w:rsidRPr="005B36A4">
          <w:rPr>
            <w:rStyle w:val="Hyperlink"/>
            <w:rFonts w:hint="cs"/>
            <w:rtl/>
          </w:rPr>
          <w:t>ی</w:t>
        </w:r>
        <w:r w:rsidRPr="005B36A4">
          <w:rPr>
            <w:rStyle w:val="Hyperlink"/>
            <w:rFonts w:hint="eastAsia"/>
            <w:rtl/>
          </w:rPr>
          <w:t>ن</w:t>
        </w:r>
        <w:r w:rsidRPr="005B36A4">
          <w:rPr>
            <w:rStyle w:val="Hyperlink"/>
            <w:rFonts w:hint="cs"/>
            <w:rtl/>
          </w:rPr>
          <w:t>ی</w:t>
        </w:r>
        <w:r w:rsidRPr="005B36A4">
          <w:rPr>
            <w:rStyle w:val="Hyperlink"/>
            <w:rFonts w:hint="eastAsia"/>
            <w:rtl/>
          </w:rPr>
          <w:t>،</w:t>
        </w:r>
        <w:r w:rsidRPr="005B36A4">
          <w:rPr>
            <w:rStyle w:val="Hyperlink"/>
            <w:rtl/>
          </w:rPr>
          <w:t xml:space="preserve"> ج2، ص481.</w:t>
        </w:r>
      </w:hyperlink>
    </w:p>
  </w:footnote>
  <w:footnote w:id="10">
    <w:p w:rsidR="003D7A77" w:rsidRPr="003D7A77" w:rsidRDefault="003D7A77" w:rsidP="003D7A77">
      <w:pPr>
        <w:pStyle w:val="FootnoteText"/>
      </w:pPr>
      <w:r w:rsidRPr="003D7A77">
        <w:footnoteRef/>
      </w:r>
      <w:r w:rsidRPr="003D7A77">
        <w:rPr>
          <w:rtl/>
        </w:rPr>
        <w:t xml:space="preserve"> </w:t>
      </w:r>
      <w:hyperlink r:id="rId10" w:history="1">
        <w:r w:rsidRPr="003D7A77">
          <w:rPr>
            <w:rStyle w:val="Hyperlink"/>
            <w:rFonts w:hint="eastAsia"/>
            <w:rtl/>
          </w:rPr>
          <w:t>مصباح</w:t>
        </w:r>
        <w:r w:rsidRPr="003D7A77">
          <w:rPr>
            <w:rStyle w:val="Hyperlink"/>
            <w:rtl/>
          </w:rPr>
          <w:t xml:space="preserve"> الاصول، الس</w:t>
        </w:r>
        <w:r w:rsidRPr="003D7A77">
          <w:rPr>
            <w:rStyle w:val="Hyperlink"/>
            <w:rFonts w:hint="cs"/>
            <w:rtl/>
          </w:rPr>
          <w:t>ی</w:t>
        </w:r>
        <w:r w:rsidRPr="003D7A77">
          <w:rPr>
            <w:rStyle w:val="Hyperlink"/>
            <w:rFonts w:hint="eastAsia"/>
            <w:rtl/>
          </w:rPr>
          <w:t>د</w:t>
        </w:r>
        <w:r w:rsidRPr="003D7A77">
          <w:rPr>
            <w:rStyle w:val="Hyperlink"/>
            <w:rtl/>
          </w:rPr>
          <w:t xml:space="preserve"> أبوالقاسم الخوئ</w:t>
        </w:r>
        <w:r w:rsidRPr="003D7A77">
          <w:rPr>
            <w:rStyle w:val="Hyperlink"/>
            <w:rFonts w:hint="cs"/>
            <w:rtl/>
          </w:rPr>
          <w:t>ی</w:t>
        </w:r>
        <w:r w:rsidRPr="003D7A77">
          <w:rPr>
            <w:rStyle w:val="Hyperlink"/>
            <w:rFonts w:hint="eastAsia"/>
            <w:rtl/>
          </w:rPr>
          <w:t>،</w:t>
        </w:r>
        <w:r w:rsidRPr="003D7A77">
          <w:rPr>
            <w:rStyle w:val="Hyperlink"/>
            <w:rtl/>
          </w:rPr>
          <w:t xml:space="preserve"> ج2، ص368.</w:t>
        </w:r>
      </w:hyperlink>
    </w:p>
  </w:footnote>
  <w:footnote w:id="11">
    <w:p w:rsidR="005B36A4" w:rsidRDefault="005B36A4" w:rsidP="005B36A4">
      <w:pPr>
        <w:pStyle w:val="FootnoteText"/>
      </w:pPr>
      <w:r>
        <w:rPr>
          <w:rStyle w:val="FootnoteReference"/>
        </w:rPr>
        <w:footnoteRef/>
      </w:r>
      <w:r w:rsidRPr="005B36A4">
        <w:rPr>
          <w:rtl/>
        </w:rPr>
        <w:t xml:space="preserve"> فوائد الاصول،</w:t>
      </w:r>
      <w:r>
        <w:rPr>
          <w:rFonts w:hint="cs"/>
          <w:rtl/>
        </w:rPr>
        <w:t xml:space="preserve"> محمد حسین نائینی،</w:t>
      </w:r>
      <w:r w:rsidRPr="005B36A4">
        <w:rPr>
          <w:rtl/>
        </w:rPr>
        <w:t xml:space="preserve"> ج‏4، ص: 650</w:t>
      </w:r>
    </w:p>
  </w:footnote>
  <w:footnote w:id="12">
    <w:p w:rsidR="004E132B" w:rsidRPr="00844D5D" w:rsidRDefault="004E132B" w:rsidP="004E132B">
      <w:pPr>
        <w:pStyle w:val="FootnoteText"/>
      </w:pPr>
      <w:r w:rsidRPr="00844D5D">
        <w:footnoteRef/>
      </w:r>
      <w:r w:rsidRPr="00844D5D">
        <w:rPr>
          <w:rtl/>
        </w:rPr>
        <w:t xml:space="preserve"> </w:t>
      </w:r>
      <w:r w:rsidRPr="00844D5D">
        <w:rPr>
          <w:rFonts w:hint="eastAsia"/>
          <w:rtl/>
        </w:rPr>
        <w:t>سوره</w:t>
      </w:r>
      <w:r w:rsidRPr="00844D5D">
        <w:rPr>
          <w:rtl/>
        </w:rPr>
        <w:t xml:space="preserve"> نساء، آيه 23.</w:t>
      </w:r>
    </w:p>
  </w:footnote>
  <w:footnote w:id="13">
    <w:p w:rsidR="001D2D9A" w:rsidRPr="001D2D9A" w:rsidRDefault="001D2D9A" w:rsidP="001D2D9A">
      <w:pPr>
        <w:pStyle w:val="FootnoteText"/>
      </w:pPr>
      <w:r w:rsidRPr="001D2D9A">
        <w:footnoteRef/>
      </w:r>
      <w:r w:rsidRPr="001D2D9A">
        <w:rPr>
          <w:rtl/>
        </w:rPr>
        <w:t xml:space="preserve"> </w:t>
      </w:r>
      <w:hyperlink r:id="rId11" w:history="1">
        <w:r w:rsidRPr="001D2D9A">
          <w:rPr>
            <w:rStyle w:val="Hyperlink"/>
            <w:rtl/>
          </w:rPr>
          <w:t>دروس ف</w:t>
        </w:r>
        <w:r w:rsidRPr="001D2D9A">
          <w:rPr>
            <w:rStyle w:val="Hyperlink"/>
            <w:rFonts w:hint="cs"/>
            <w:rtl/>
          </w:rPr>
          <w:t>ی</w:t>
        </w:r>
        <w:r w:rsidRPr="001D2D9A">
          <w:rPr>
            <w:rStyle w:val="Hyperlink"/>
            <w:rtl/>
          </w:rPr>
          <w:t xml:space="preserve"> مسائل علم الاصول، جواد تبر</w:t>
        </w:r>
        <w:r w:rsidRPr="001D2D9A">
          <w:rPr>
            <w:rStyle w:val="Hyperlink"/>
            <w:rFonts w:hint="cs"/>
            <w:rtl/>
          </w:rPr>
          <w:t>ی</w:t>
        </w:r>
        <w:r w:rsidRPr="001D2D9A">
          <w:rPr>
            <w:rStyle w:val="Hyperlink"/>
            <w:rFonts w:hint="eastAsia"/>
            <w:rtl/>
          </w:rPr>
          <w:t>ز</w:t>
        </w:r>
        <w:r w:rsidRPr="001D2D9A">
          <w:rPr>
            <w:rStyle w:val="Hyperlink"/>
            <w:rFonts w:hint="cs"/>
            <w:rtl/>
          </w:rPr>
          <w:t>ی</w:t>
        </w:r>
        <w:r w:rsidRPr="001D2D9A">
          <w:rPr>
            <w:rStyle w:val="Hyperlink"/>
            <w:rFonts w:hint="eastAsia"/>
            <w:rtl/>
          </w:rPr>
          <w:t>،</w:t>
        </w:r>
        <w:r w:rsidRPr="001D2D9A">
          <w:rPr>
            <w:rStyle w:val="Hyperlink"/>
            <w:rtl/>
          </w:rPr>
          <w:t xml:space="preserve"> ج6، ص43.</w:t>
        </w:r>
      </w:hyperlink>
    </w:p>
  </w:footnote>
  <w:footnote w:id="14">
    <w:p w:rsidR="001D2D9A" w:rsidRPr="001D2D9A" w:rsidRDefault="001D2D9A" w:rsidP="001D2D9A">
      <w:pPr>
        <w:pStyle w:val="FootnoteText"/>
      </w:pPr>
      <w:r w:rsidRPr="001D2D9A">
        <w:footnoteRef/>
      </w:r>
      <w:r w:rsidRPr="001D2D9A">
        <w:rPr>
          <w:rtl/>
        </w:rPr>
        <w:t xml:space="preserve"> </w:t>
      </w:r>
      <w:hyperlink r:id="rId12" w:history="1">
        <w:r w:rsidRPr="001D2D9A">
          <w:rPr>
            <w:rStyle w:val="Hyperlink"/>
            <w:rFonts w:hint="eastAsia"/>
            <w:rtl/>
          </w:rPr>
          <w:t>دروس</w:t>
        </w:r>
        <w:r w:rsidRPr="001D2D9A">
          <w:rPr>
            <w:rStyle w:val="Hyperlink"/>
            <w:rtl/>
          </w:rPr>
          <w:t xml:space="preserve"> ف</w:t>
        </w:r>
        <w:r w:rsidRPr="001D2D9A">
          <w:rPr>
            <w:rStyle w:val="Hyperlink"/>
            <w:rFonts w:hint="cs"/>
            <w:rtl/>
          </w:rPr>
          <w:t>ی</w:t>
        </w:r>
        <w:r w:rsidRPr="001D2D9A">
          <w:rPr>
            <w:rStyle w:val="Hyperlink"/>
            <w:rtl/>
          </w:rPr>
          <w:t xml:space="preserve"> مسائل علم الاصول، جواد تبر</w:t>
        </w:r>
        <w:r w:rsidRPr="001D2D9A">
          <w:rPr>
            <w:rStyle w:val="Hyperlink"/>
            <w:rFonts w:hint="cs"/>
            <w:rtl/>
          </w:rPr>
          <w:t>ی</w:t>
        </w:r>
        <w:r w:rsidRPr="001D2D9A">
          <w:rPr>
            <w:rStyle w:val="Hyperlink"/>
            <w:rFonts w:hint="eastAsia"/>
            <w:rtl/>
          </w:rPr>
          <w:t>ز</w:t>
        </w:r>
        <w:r w:rsidRPr="001D2D9A">
          <w:rPr>
            <w:rStyle w:val="Hyperlink"/>
            <w:rFonts w:hint="cs"/>
            <w:rtl/>
          </w:rPr>
          <w:t>ی</w:t>
        </w:r>
        <w:r w:rsidRPr="001D2D9A">
          <w:rPr>
            <w:rStyle w:val="Hyperlink"/>
            <w:rFonts w:hint="eastAsia"/>
            <w:rtl/>
          </w:rPr>
          <w:t>،</w:t>
        </w:r>
        <w:r w:rsidRPr="001D2D9A">
          <w:rPr>
            <w:rStyle w:val="Hyperlink"/>
            <w:rtl/>
          </w:rPr>
          <w:t xml:space="preserve"> ج6، ص11.</w:t>
        </w:r>
      </w:hyperlink>
    </w:p>
  </w:footnote>
  <w:footnote w:id="15">
    <w:p w:rsidR="00221858" w:rsidRDefault="00221858">
      <w:pPr>
        <w:pStyle w:val="FootnoteText"/>
      </w:pPr>
      <w:r>
        <w:rPr>
          <w:rStyle w:val="FootnoteReference"/>
        </w:rPr>
        <w:footnoteRef/>
      </w:r>
      <w:r>
        <w:rPr>
          <w:rtl/>
        </w:rPr>
        <w:t xml:space="preserve"> </w:t>
      </w:r>
      <w:r>
        <w:rPr>
          <w:rFonts w:hint="cs"/>
          <w:rtl/>
        </w:rPr>
        <w:t>خلاصه از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6424ED">
      <w:rPr>
        <w:b/>
        <w:bCs/>
        <w:sz w:val="20"/>
        <w:szCs w:val="24"/>
        <w:rtl/>
      </w:rPr>
      <w:t>045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6424ED">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6424ED">
      <w:rPr>
        <w:b/>
        <w:bCs/>
        <w:color w:val="632423" w:themeColor="accent2" w:themeShade="80"/>
        <w:sz w:val="20"/>
        <w:szCs w:val="24"/>
        <w:rtl/>
      </w:rPr>
      <w:t>حس</w:t>
    </w:r>
    <w:r w:rsidR="006424ED">
      <w:rPr>
        <w:rFonts w:hint="cs"/>
        <w:b/>
        <w:bCs/>
        <w:color w:val="632423" w:themeColor="accent2" w:themeShade="80"/>
        <w:sz w:val="20"/>
        <w:szCs w:val="24"/>
        <w:rtl/>
      </w:rPr>
      <w:t>ی</w:t>
    </w:r>
    <w:r w:rsidR="006424ED">
      <w:rPr>
        <w:rFonts w:hint="eastAsia"/>
        <w:b/>
        <w:bCs/>
        <w:color w:val="632423" w:themeColor="accent2" w:themeShade="80"/>
        <w:sz w:val="20"/>
        <w:szCs w:val="24"/>
        <w:rtl/>
      </w:rPr>
      <w:t>ن</w:t>
    </w:r>
    <w:r w:rsidR="006424ED">
      <w:rPr>
        <w:b/>
        <w:bCs/>
        <w:color w:val="632423" w:themeColor="accent2" w:themeShade="80"/>
        <w:sz w:val="20"/>
        <w:szCs w:val="24"/>
        <w:rtl/>
      </w:rPr>
      <w:t xml:space="preserve"> شوپا</w:t>
    </w:r>
    <w:r w:rsidR="006424ED">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6424ED">
      <w:rPr>
        <w:sz w:val="24"/>
        <w:szCs w:val="24"/>
        <w:rtl/>
      </w:rPr>
      <w:t>21 /9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6424ED">
      <w:rPr>
        <w:color w:val="000000" w:themeColor="text1"/>
        <w:sz w:val="24"/>
        <w:szCs w:val="24"/>
        <w:rtl/>
      </w:rPr>
      <w:t>تعارض استصحاب با قاعده فراغ و تجاوز</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6424ED">
      <w:rPr>
        <w:sz w:val="24"/>
        <w:szCs w:val="24"/>
        <w:rtl/>
      </w:rPr>
      <w:t>مرتض</w:t>
    </w:r>
    <w:r w:rsidR="006424ED">
      <w:rPr>
        <w:rFonts w:hint="cs"/>
        <w:sz w:val="24"/>
        <w:szCs w:val="24"/>
        <w:rtl/>
      </w:rPr>
      <w:t>ی</w:t>
    </w:r>
    <w:r w:rsidR="006424ED">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6424ED">
      <w:rPr>
        <w:sz w:val="24"/>
        <w:szCs w:val="24"/>
        <w:rtl/>
      </w:rPr>
      <w:t>جهت چهاردهم: بررس</w:t>
    </w:r>
    <w:r w:rsidR="006424ED">
      <w:rPr>
        <w:rFonts w:hint="cs"/>
        <w:sz w:val="24"/>
        <w:szCs w:val="24"/>
        <w:rtl/>
      </w:rPr>
      <w:t>ی</w:t>
    </w:r>
    <w:r w:rsidR="006424ED">
      <w:rPr>
        <w:sz w:val="24"/>
        <w:szCs w:val="24"/>
        <w:rtl/>
      </w:rPr>
      <w:t xml:space="preserve"> اشتراط احتمال التفات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528A"/>
    <w:rsid w:val="00055496"/>
    <w:rsid w:val="00080A41"/>
    <w:rsid w:val="0008299B"/>
    <w:rsid w:val="00084AE5"/>
    <w:rsid w:val="000913AA"/>
    <w:rsid w:val="00094847"/>
    <w:rsid w:val="00096C63"/>
    <w:rsid w:val="000B5DB5"/>
    <w:rsid w:val="000C3947"/>
    <w:rsid w:val="000D2A37"/>
    <w:rsid w:val="000D30E9"/>
    <w:rsid w:val="000D6818"/>
    <w:rsid w:val="000E335E"/>
    <w:rsid w:val="000F16CF"/>
    <w:rsid w:val="000F5BAC"/>
    <w:rsid w:val="00102585"/>
    <w:rsid w:val="00105FBB"/>
    <w:rsid w:val="00113BA8"/>
    <w:rsid w:val="00114AB7"/>
    <w:rsid w:val="00116B2B"/>
    <w:rsid w:val="00124E3D"/>
    <w:rsid w:val="00127E95"/>
    <w:rsid w:val="00130659"/>
    <w:rsid w:val="001347C7"/>
    <w:rsid w:val="001356B0"/>
    <w:rsid w:val="00151937"/>
    <w:rsid w:val="001539DD"/>
    <w:rsid w:val="00181844"/>
    <w:rsid w:val="001837E9"/>
    <w:rsid w:val="00187DFA"/>
    <w:rsid w:val="001A1BC1"/>
    <w:rsid w:val="001A1EA5"/>
    <w:rsid w:val="001A2574"/>
    <w:rsid w:val="001A27D7"/>
    <w:rsid w:val="001A294E"/>
    <w:rsid w:val="001A4ED8"/>
    <w:rsid w:val="001B2488"/>
    <w:rsid w:val="001B6799"/>
    <w:rsid w:val="001C1362"/>
    <w:rsid w:val="001D2D9A"/>
    <w:rsid w:val="001D2E9A"/>
    <w:rsid w:val="001D597F"/>
    <w:rsid w:val="001E3FD4"/>
    <w:rsid w:val="0020241A"/>
    <w:rsid w:val="00203821"/>
    <w:rsid w:val="00210938"/>
    <w:rsid w:val="00211632"/>
    <w:rsid w:val="0021630D"/>
    <w:rsid w:val="00221858"/>
    <w:rsid w:val="00230EB1"/>
    <w:rsid w:val="0024121B"/>
    <w:rsid w:val="00247D2F"/>
    <w:rsid w:val="00256560"/>
    <w:rsid w:val="0027605E"/>
    <w:rsid w:val="00281E00"/>
    <w:rsid w:val="00286982"/>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4F9B"/>
    <w:rsid w:val="003C33F6"/>
    <w:rsid w:val="003C3D2E"/>
    <w:rsid w:val="003C43A5"/>
    <w:rsid w:val="003D406D"/>
    <w:rsid w:val="003D7A77"/>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9764A"/>
    <w:rsid w:val="004A2FEA"/>
    <w:rsid w:val="004D2DD7"/>
    <w:rsid w:val="004D75C5"/>
    <w:rsid w:val="004E132B"/>
    <w:rsid w:val="004E2186"/>
    <w:rsid w:val="004E66FB"/>
    <w:rsid w:val="004F470A"/>
    <w:rsid w:val="004F4C59"/>
    <w:rsid w:val="004F6441"/>
    <w:rsid w:val="00500C8F"/>
    <w:rsid w:val="00501909"/>
    <w:rsid w:val="00507BBB"/>
    <w:rsid w:val="005128DF"/>
    <w:rsid w:val="0051592A"/>
    <w:rsid w:val="005206FE"/>
    <w:rsid w:val="00523ED7"/>
    <w:rsid w:val="005257ED"/>
    <w:rsid w:val="005306F8"/>
    <w:rsid w:val="0054023D"/>
    <w:rsid w:val="005426BF"/>
    <w:rsid w:val="005547CB"/>
    <w:rsid w:val="0056213C"/>
    <w:rsid w:val="00580C24"/>
    <w:rsid w:val="005968EF"/>
    <w:rsid w:val="00596C1E"/>
    <w:rsid w:val="005A2E26"/>
    <w:rsid w:val="005B36A4"/>
    <w:rsid w:val="005B7BCA"/>
    <w:rsid w:val="005C0DAE"/>
    <w:rsid w:val="005C188E"/>
    <w:rsid w:val="005D2349"/>
    <w:rsid w:val="005E1B60"/>
    <w:rsid w:val="005E5507"/>
    <w:rsid w:val="005E607B"/>
    <w:rsid w:val="005F0A8D"/>
    <w:rsid w:val="00601229"/>
    <w:rsid w:val="00603B67"/>
    <w:rsid w:val="006113AA"/>
    <w:rsid w:val="006162A2"/>
    <w:rsid w:val="006240DA"/>
    <w:rsid w:val="0063256E"/>
    <w:rsid w:val="00633F04"/>
    <w:rsid w:val="00635219"/>
    <w:rsid w:val="00635EC0"/>
    <w:rsid w:val="00640B58"/>
    <w:rsid w:val="006424ED"/>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1707"/>
    <w:rsid w:val="0072290D"/>
    <w:rsid w:val="00723D6D"/>
    <w:rsid w:val="00724537"/>
    <w:rsid w:val="00731724"/>
    <w:rsid w:val="0073474B"/>
    <w:rsid w:val="00735511"/>
    <w:rsid w:val="00737208"/>
    <w:rsid w:val="00744DE6"/>
    <w:rsid w:val="0074598A"/>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63D"/>
    <w:rsid w:val="00871916"/>
    <w:rsid w:val="00883C9C"/>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395F"/>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25993"/>
    <w:rsid w:val="00A457C6"/>
    <w:rsid w:val="00A46AD0"/>
    <w:rsid w:val="00A47063"/>
    <w:rsid w:val="00A473A8"/>
    <w:rsid w:val="00A513F0"/>
    <w:rsid w:val="00A60F2F"/>
    <w:rsid w:val="00A61AC8"/>
    <w:rsid w:val="00A6366F"/>
    <w:rsid w:val="00A65D4C"/>
    <w:rsid w:val="00A70512"/>
    <w:rsid w:val="00AA1F60"/>
    <w:rsid w:val="00AA40D7"/>
    <w:rsid w:val="00AB4E8B"/>
    <w:rsid w:val="00AB5F7D"/>
    <w:rsid w:val="00AC0C50"/>
    <w:rsid w:val="00AC6FE2"/>
    <w:rsid w:val="00AF3925"/>
    <w:rsid w:val="00B1296B"/>
    <w:rsid w:val="00B2292F"/>
    <w:rsid w:val="00B34EA5"/>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C7544"/>
    <w:rsid w:val="00CD0050"/>
    <w:rsid w:val="00CE7481"/>
    <w:rsid w:val="00CF0A8F"/>
    <w:rsid w:val="00D048CE"/>
    <w:rsid w:val="00D05FEA"/>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0308"/>
    <w:rsid w:val="00E0316B"/>
    <w:rsid w:val="00E25E10"/>
    <w:rsid w:val="00E43944"/>
    <w:rsid w:val="00E50B41"/>
    <w:rsid w:val="00E5219B"/>
    <w:rsid w:val="00E52D07"/>
    <w:rsid w:val="00E5518B"/>
    <w:rsid w:val="00E609FE"/>
    <w:rsid w:val="00E630BE"/>
    <w:rsid w:val="00E75920"/>
    <w:rsid w:val="00E80D96"/>
    <w:rsid w:val="00E871FA"/>
    <w:rsid w:val="00E936A4"/>
    <w:rsid w:val="00E954BB"/>
    <w:rsid w:val="00EA0F2E"/>
    <w:rsid w:val="00EA45E7"/>
    <w:rsid w:val="00EB78E3"/>
    <w:rsid w:val="00EB7BE3"/>
    <w:rsid w:val="00EC1C4B"/>
    <w:rsid w:val="00EC735A"/>
    <w:rsid w:val="00ED5F38"/>
    <w:rsid w:val="00EE0612"/>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3046/2/367/&#1578;&#1587;&#1604;&#1740;&#1605;" TargetMode="External"/><Relationship Id="rId3" Type="http://schemas.openxmlformats.org/officeDocument/2006/relationships/hyperlink" Target="http://lib.eshia.ir/11025/8/246/&#1581;&#1740;&#1606;%20&#1575;&#1606;&#1589;&#1585;&#1601;" TargetMode="External"/><Relationship Id="rId7" Type="http://schemas.openxmlformats.org/officeDocument/2006/relationships/hyperlink" Target="http://lib.eshia.ir/11025/8/246/&#1581;&#1740;&#1606;%20&#1575;&#1606;&#1589;&#1585;&#1601;" TargetMode="External"/><Relationship Id="rId12" Type="http://schemas.openxmlformats.org/officeDocument/2006/relationships/hyperlink" Target="http://lib.eshia.ir/86749/6/11/&#1602;&#1575;&#1593;&#1583;&#1607;%20&#1575;&#1604;&#1740;&#1602;&#1740;&#1606;" TargetMode="External"/><Relationship Id="rId2" Type="http://schemas.openxmlformats.org/officeDocument/2006/relationships/hyperlink" Target="http://lib.eshia.ir/11025/1/471/&#1575;&#1584;&#1705;&#1585;" TargetMode="External"/><Relationship Id="rId1" Type="http://schemas.openxmlformats.org/officeDocument/2006/relationships/hyperlink" Target="http://lib.eshia.ir/11025/8/237/&#1605;&#1581;&#1605;&#1583;%20&#1576;&#1606;%20&#1605;&#1587;&#1604;&#1605;" TargetMode="External"/><Relationship Id="rId6" Type="http://schemas.openxmlformats.org/officeDocument/2006/relationships/hyperlink" Target="http://lib.eshia.ir/11025/1/471/&#1575;&#1584;&#1705;&#1585;" TargetMode="External"/><Relationship Id="rId11" Type="http://schemas.openxmlformats.org/officeDocument/2006/relationships/hyperlink" Target="http://lib.eshia.ir/86749/6/43/&#1605;&#1590;&#1605;&#1585;&#1607;" TargetMode="External"/><Relationship Id="rId5" Type="http://schemas.openxmlformats.org/officeDocument/2006/relationships/hyperlink" Target="http://lib.eshia.ir/86437/%20&#1575;&#1604;&#1606;&#1589;/347/&#1583;&#1593;&#1608;&#1740;%20&#1575;&#1604;&#1575;&#1591;&#1604;&#1575;&#1602;" TargetMode="External"/><Relationship Id="rId10" Type="http://schemas.openxmlformats.org/officeDocument/2006/relationships/hyperlink" Target="http://lib.eshia.ir/13046/2/368/&#1575;&#1604;&#1605;&#1740;&#1586;&#1575;&#1606;" TargetMode="External"/><Relationship Id="rId4" Type="http://schemas.openxmlformats.org/officeDocument/2006/relationships/hyperlink" Target="http://lib.eshia.ir/13046/2/367/&#1575;&#1604;&#1578;&#1581;&#1602;&#1740;&#1602;%20&#1607;&#1608;%20&#1575;&#1604;&#1575;&#1608;&#1604;" TargetMode="External"/><Relationship Id="rId9" Type="http://schemas.openxmlformats.org/officeDocument/2006/relationships/hyperlink" Target="http://lib.eshia.ir/10057/2/481/&#1581;&#1705;&#1605;&#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F4AB-84E9-4210-AB3E-60059CE4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427</TotalTime>
  <Pages>5</Pages>
  <Words>927</Words>
  <Characters>5286</Characters>
  <Application>Microsoft Office Word</Application>
  <DocSecurity>0</DocSecurity>
  <Lines>44</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6201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radmehr</cp:lastModifiedBy>
  <cp:revision>19</cp:revision>
  <cp:lastPrinted>2018-12-16T16:01:00Z</cp:lastPrinted>
  <dcterms:created xsi:type="dcterms:W3CDTF">2018-12-15T22:14:00Z</dcterms:created>
  <dcterms:modified xsi:type="dcterms:W3CDTF">2018-12-18T01:58:00Z</dcterms:modified>
  <cp:contentStatus>ویرایش 2.5</cp:contentStatus>
  <cp:version>2.7</cp:version>
</cp:coreProperties>
</file>