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الدرس٨٦ تاريخ</w:t>
      </w:r>
      <w:r w:rsidR="005568BB" w:rsidRPr="0052077F">
        <w:rPr>
          <w:rFonts w:cs="Taher"/>
          <w:sz w:val="36"/>
          <w:szCs w:val="36"/>
          <w:shd w:val="clear" w:color="auto" w:fill="FEFFFE"/>
          <w:rtl/>
        </w:rPr>
        <w:t xml:space="preserve"> </w:t>
      </w:r>
      <w:r w:rsidRPr="0052077F">
        <w:rPr>
          <w:rFonts w:ascii="Al Nile" w:hAnsi="Al Nile" w:cs="Taher"/>
          <w:sz w:val="36"/>
          <w:szCs w:val="36"/>
          <w:shd w:val="clear" w:color="auto" w:fill="FEFFFE"/>
          <w:rtl/>
        </w:rPr>
        <w:t xml:space="preserve"> </w:t>
      </w:r>
      <w:r w:rsidR="005568BB" w:rsidRPr="0052077F">
        <w:rPr>
          <w:rFonts w:cs="Taher"/>
          <w:sz w:val="36"/>
          <w:szCs w:val="36"/>
          <w:shd w:val="clear" w:color="auto" w:fill="FEFFFE"/>
          <w:rtl/>
        </w:rPr>
        <w:t>5/11/97</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b/>
          <w:bCs/>
          <w:sz w:val="36"/>
          <w:szCs w:val="36"/>
          <w:shd w:val="clear" w:color="auto" w:fill="FEFFFE"/>
          <w:rtl/>
        </w:rPr>
        <w:t>الجهة العاشرة</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حجية القاعدة مع اعتراف ذي اليد بالملكية السابقة لل</w:t>
      </w:r>
      <w:r w:rsidR="005568BB" w:rsidRPr="0052077F">
        <w:rPr>
          <w:rFonts w:cs="Taher"/>
          <w:sz w:val="36"/>
          <w:szCs w:val="36"/>
          <w:shd w:val="clear" w:color="auto" w:fill="FEFFFE"/>
          <w:rtl/>
        </w:rPr>
        <w:t>خصم اولمن يقوم الخصم مقامه بالارث اوالوصية</w:t>
      </w:r>
      <w:r w:rsidR="005568BB" w:rsidRPr="0052077F">
        <w:rPr>
          <w:rFonts w:ascii="Al Nile" w:eastAsia="Al Nile" w:hAnsi="Al Nile" w:cs="Taher"/>
          <w:sz w:val="36"/>
          <w:szCs w:val="36"/>
          <w:shd w:val="clear" w:color="auto" w:fill="FEFFFE"/>
          <w:rtl/>
        </w:rPr>
        <w:t xml:space="preserve"> </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 xml:space="preserve">وقع الكلام في حجية قاعدة اليد فيما اعترف ذو اليد بأن المال سابقاً </w:t>
      </w:r>
      <w:r w:rsidR="005568BB" w:rsidRPr="0052077F">
        <w:rPr>
          <w:rFonts w:cs="Taher"/>
          <w:sz w:val="36"/>
          <w:szCs w:val="36"/>
          <w:shd w:val="clear" w:color="auto" w:fill="FEFFFE"/>
          <w:rtl/>
        </w:rPr>
        <w:t xml:space="preserve">کان </w:t>
      </w:r>
      <w:r w:rsidRPr="0052077F">
        <w:rPr>
          <w:rFonts w:cs="Taher"/>
          <w:sz w:val="36"/>
          <w:szCs w:val="36"/>
          <w:shd w:val="clear" w:color="auto" w:fill="FEFFFE"/>
          <w:rtl/>
        </w:rPr>
        <w:t>ملكاً لل</w:t>
      </w:r>
      <w:r w:rsidR="005568BB" w:rsidRPr="0052077F">
        <w:rPr>
          <w:rFonts w:cs="Taher"/>
          <w:sz w:val="36"/>
          <w:szCs w:val="36"/>
          <w:shd w:val="clear" w:color="auto" w:fill="FEFFFE"/>
          <w:rtl/>
        </w:rPr>
        <w:t xml:space="preserve">خصم اولمن يقوم الخصم مقامه </w:t>
      </w:r>
      <w:r w:rsidRPr="0052077F">
        <w:rPr>
          <w:rFonts w:cs="Taher"/>
          <w:sz w:val="36"/>
          <w:szCs w:val="36"/>
          <w:shd w:val="clear" w:color="auto" w:fill="FEFFFE"/>
          <w:rtl/>
        </w:rPr>
        <w:t xml:space="preserve">وادعى ملكيته الفعلية أو عدم حجيتها وكون الإعتراف موجباً لانقلاب الدعوى فيصبح ذو اليد </w:t>
      </w:r>
      <w:r w:rsidRPr="0052077F">
        <w:rPr>
          <w:rFonts w:cs="Taher"/>
          <w:sz w:val="36"/>
          <w:szCs w:val="36"/>
          <w:shd w:val="clear" w:color="auto" w:fill="FEFFFE"/>
          <w:rtl/>
        </w:rPr>
        <w:t>مدعياً والخصم منكراً</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للمسألة صور والعمدة صورتان</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الأولى</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أن يكون طرف ال</w:t>
      </w:r>
      <w:r w:rsidR="005568BB" w:rsidRPr="0052077F">
        <w:rPr>
          <w:rFonts w:cs="Taher"/>
          <w:sz w:val="36"/>
          <w:szCs w:val="36"/>
          <w:shd w:val="clear" w:color="auto" w:fill="FEFFFE"/>
          <w:rtl/>
        </w:rPr>
        <w:t>نزاع</w:t>
      </w:r>
      <w:r w:rsidRPr="0052077F">
        <w:rPr>
          <w:rFonts w:cs="Taher"/>
          <w:sz w:val="36"/>
          <w:szCs w:val="36"/>
          <w:shd w:val="clear" w:color="auto" w:fill="FEFFFE"/>
          <w:rtl/>
        </w:rPr>
        <w:t xml:space="preserve"> شخصاً أجنبياً غير من يعترف ذو اليد بملكيته السابق أو من يقوم مقامه كالوارث</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الثانية</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أن يكون طرف ال</w:t>
      </w:r>
      <w:r w:rsidR="005568BB" w:rsidRPr="0052077F">
        <w:rPr>
          <w:rFonts w:cs="Taher"/>
          <w:sz w:val="36"/>
          <w:szCs w:val="36"/>
          <w:shd w:val="clear" w:color="auto" w:fill="FEFFFE"/>
          <w:rtl/>
        </w:rPr>
        <w:t>نزاع</w:t>
      </w:r>
      <w:r w:rsidRPr="0052077F">
        <w:rPr>
          <w:rFonts w:cs="Taher"/>
          <w:sz w:val="36"/>
          <w:szCs w:val="36"/>
          <w:shd w:val="clear" w:color="auto" w:fill="FEFFFE"/>
          <w:rtl/>
        </w:rPr>
        <w:t xml:space="preserve"> نفس المالك السابق أو من يقوم مقامه</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وفي الصورة الثانية تتصور شقوق متعددة با</w:t>
      </w:r>
      <w:r w:rsidRPr="0052077F">
        <w:rPr>
          <w:rFonts w:cs="Taher"/>
          <w:sz w:val="36"/>
          <w:szCs w:val="36"/>
          <w:shd w:val="clear" w:color="auto" w:fill="FEFFFE"/>
          <w:rtl/>
        </w:rPr>
        <w:t>عتبار أن ذا اليد إما أن يكون مدعياً للانتقال من المالك مباشرةً أو مدعياً للانتقال من شخص آخر وباعتبار أن الخصم إما ينكر الانتقال أو لا ينكره</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أما الصورة الأولى فلا إشكال في حجية اليد فيها وأن مجرد اعتراف ذي اليد بأن المال كان ملكاً للغير لا يكفي لسقوط اليد</w:t>
      </w:r>
      <w:r w:rsidRPr="0052077F">
        <w:rPr>
          <w:rFonts w:cs="Taher"/>
          <w:sz w:val="36"/>
          <w:szCs w:val="36"/>
          <w:shd w:val="clear" w:color="auto" w:fill="FEFFFE"/>
          <w:rtl/>
        </w:rPr>
        <w:t xml:space="preserve"> عن الحجية لأن أكثر الأموال مسبوقةً بملك الغير فلو لم تعتبر قاعدة اليد في هذه الموارد سقطت في أكثر الموارد عن الحجية</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فالعمدة البحث في الصورة الثانية وفيها أقوال ثلاثة</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الأول</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انقلاب الدعوى وهو قول كثير من المحققين كالمحقق النائيني والسيد الخوئي والميرزا ا</w:t>
      </w:r>
      <w:r w:rsidRPr="0052077F">
        <w:rPr>
          <w:rFonts w:cs="Taher"/>
          <w:sz w:val="36"/>
          <w:szCs w:val="36"/>
          <w:shd w:val="clear" w:color="auto" w:fill="FEFFFE"/>
          <w:rtl/>
        </w:rPr>
        <w:t>لتبريزي قدست أسرارهم بل هو المعروف</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الثاني</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حجية اليد وهو قول المحقق الأصفهاني قدس سره وبعض الأعلام في بحث قاعدة اليد</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lastRenderedPageBreak/>
        <w:t>الثالث</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 xml:space="preserve">التفصيل بين ما كان ذو اليد مدعياً للانتقال من المالك السابق وبين ما لم يكن مدعياً لذلك ففي الأول </w:t>
      </w:r>
      <w:r w:rsidR="005568BB" w:rsidRPr="0052077F">
        <w:rPr>
          <w:rFonts w:cs="Taher"/>
          <w:sz w:val="36"/>
          <w:szCs w:val="36"/>
          <w:shd w:val="clear" w:color="auto" w:fill="FEFFFE"/>
          <w:rtl/>
        </w:rPr>
        <w:t>ت</w:t>
      </w:r>
      <w:r w:rsidRPr="0052077F">
        <w:rPr>
          <w:rFonts w:cs="Taher"/>
          <w:sz w:val="36"/>
          <w:szCs w:val="36"/>
          <w:shd w:val="clear" w:color="auto" w:fill="FEFFFE"/>
          <w:rtl/>
        </w:rPr>
        <w:t xml:space="preserve">نقلب الدعوى وفي الثاني لا </w:t>
      </w:r>
      <w:r w:rsidR="005568BB" w:rsidRPr="0052077F">
        <w:rPr>
          <w:rFonts w:cs="Taher"/>
          <w:sz w:val="36"/>
          <w:szCs w:val="36"/>
          <w:shd w:val="clear" w:color="auto" w:fill="FEFFFE"/>
          <w:rtl/>
        </w:rPr>
        <w:t>ت</w:t>
      </w:r>
      <w:r w:rsidRPr="0052077F">
        <w:rPr>
          <w:rFonts w:cs="Taher"/>
          <w:sz w:val="36"/>
          <w:szCs w:val="36"/>
          <w:shd w:val="clear" w:color="auto" w:fill="FEFFFE"/>
          <w:rtl/>
        </w:rPr>
        <w:t>نقلب</w:t>
      </w:r>
      <w:r w:rsidRPr="0052077F">
        <w:rPr>
          <w:rFonts w:cs="Taher"/>
          <w:sz w:val="36"/>
          <w:szCs w:val="36"/>
          <w:shd w:val="clear" w:color="auto" w:fill="FEFFFE"/>
          <w:rtl/>
        </w:rPr>
        <w:t xml:space="preserve"> وهو قول صاحب الكفاية قدس سره في حاشية الرسائل</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 xml:space="preserve">ووجه القول الأول </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كما أفاد السيد الخوئي قدس سره في مباني تكملة المنهاج</w:t>
      </w:r>
      <w:r w:rsidRPr="0052077F">
        <w:rPr>
          <w:rFonts w:ascii="Al Nile" w:hAnsi="Al Nile" w:cs="Taher"/>
          <w:sz w:val="36"/>
          <w:szCs w:val="36"/>
          <w:shd w:val="clear" w:color="auto" w:fill="FEFFFE"/>
          <w:rtl/>
        </w:rPr>
        <w:t xml:space="preserve"> </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أن لازم اعتراف ذي اليد بملكية الغير سابقاً مع دعواه الملكية الفعلية دعوى انتقال المال من المالك السابق إليه فالنزاع في الملكية الفعلية</w:t>
      </w:r>
      <w:r w:rsidRPr="0052077F">
        <w:rPr>
          <w:rFonts w:cs="Taher"/>
          <w:sz w:val="36"/>
          <w:szCs w:val="36"/>
          <w:shd w:val="clear" w:color="auto" w:fill="FEFFFE"/>
          <w:rtl/>
        </w:rPr>
        <w:t xml:space="preserve"> يرجع إلى الانتقال وعدم الانتقال وبحسب دعوى الانتقال وعدمه يعتبر ذو اليد مدعياً والمالك السابق منكراً لأن الأصل عدم الانتقال وبقاء الملكية السابقة فالم</w:t>
      </w:r>
      <w:r w:rsidR="005568BB" w:rsidRPr="0052077F">
        <w:rPr>
          <w:rFonts w:cs="Taher"/>
          <w:sz w:val="36"/>
          <w:szCs w:val="36"/>
          <w:shd w:val="clear" w:color="auto" w:fill="FEFFFE"/>
          <w:rtl/>
        </w:rPr>
        <w:t>ا</w:t>
      </w:r>
      <w:r w:rsidRPr="0052077F">
        <w:rPr>
          <w:rFonts w:cs="Taher"/>
          <w:sz w:val="36"/>
          <w:szCs w:val="36"/>
          <w:shd w:val="clear" w:color="auto" w:fill="FEFFFE"/>
          <w:rtl/>
        </w:rPr>
        <w:t>لك السابق له الحجة و</w:t>
      </w:r>
      <w:r w:rsidR="005568BB" w:rsidRPr="0052077F">
        <w:rPr>
          <w:rFonts w:cs="Taher"/>
          <w:sz w:val="36"/>
          <w:szCs w:val="36"/>
          <w:shd w:val="clear" w:color="auto" w:fill="FEFFFE"/>
          <w:rtl/>
        </w:rPr>
        <w:t xml:space="preserve">قول </w:t>
      </w:r>
      <w:r w:rsidRPr="0052077F">
        <w:rPr>
          <w:rFonts w:cs="Taher"/>
          <w:sz w:val="36"/>
          <w:szCs w:val="36"/>
          <w:shd w:val="clear" w:color="auto" w:fill="FEFFFE"/>
          <w:rtl/>
        </w:rPr>
        <w:t>ذ</w:t>
      </w:r>
      <w:r w:rsidR="005568BB" w:rsidRPr="0052077F">
        <w:rPr>
          <w:rFonts w:cs="Taher"/>
          <w:sz w:val="36"/>
          <w:szCs w:val="36"/>
          <w:shd w:val="clear" w:color="auto" w:fill="FEFFFE"/>
          <w:rtl/>
        </w:rPr>
        <w:t>ي</w:t>
      </w:r>
      <w:r w:rsidRPr="0052077F">
        <w:rPr>
          <w:rFonts w:cs="Taher"/>
          <w:sz w:val="36"/>
          <w:szCs w:val="36"/>
          <w:shd w:val="clear" w:color="auto" w:fill="FEFFFE"/>
          <w:rtl/>
        </w:rPr>
        <w:t xml:space="preserve"> اليد مخالف الحجة فبإقرار ذي اليد </w:t>
      </w:r>
      <w:r w:rsidR="005568BB" w:rsidRPr="0052077F">
        <w:rPr>
          <w:rFonts w:cs="Taher"/>
          <w:sz w:val="36"/>
          <w:szCs w:val="36"/>
          <w:shd w:val="clear" w:color="auto" w:fill="FEFFFE"/>
          <w:rtl/>
        </w:rPr>
        <w:t>ت</w:t>
      </w:r>
      <w:r w:rsidRPr="0052077F">
        <w:rPr>
          <w:rFonts w:cs="Taher"/>
          <w:sz w:val="36"/>
          <w:szCs w:val="36"/>
          <w:shd w:val="clear" w:color="auto" w:fill="FEFFFE"/>
          <w:rtl/>
        </w:rPr>
        <w:t>نقلب الدعوى ويحكم بنفع الطرف المقابل ولا تبقى حج</w:t>
      </w:r>
      <w:r w:rsidRPr="0052077F">
        <w:rPr>
          <w:rFonts w:cs="Taher"/>
          <w:sz w:val="36"/>
          <w:szCs w:val="36"/>
          <w:shd w:val="clear" w:color="auto" w:fill="FEFFFE"/>
          <w:rtl/>
        </w:rPr>
        <w:t>ية لليد</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أفاد الميرزا التبريزي قدس سره أن هذا الانقلاب في الدعوى لخصوصة في الإقرار لا لثبوت الملكية السابقة فلذا لو ثبتت الملكية السابقة بغير الإقرار كالبينة</w:t>
      </w:r>
      <w:r w:rsidR="005568BB" w:rsidRPr="0052077F">
        <w:rPr>
          <w:rFonts w:cs="Taher"/>
          <w:sz w:val="36"/>
          <w:szCs w:val="36"/>
          <w:shd w:val="clear" w:color="auto" w:fill="FEFFFE"/>
          <w:rtl/>
        </w:rPr>
        <w:t xml:space="preserve"> وبالعلم الخارجي</w:t>
      </w:r>
      <w:r w:rsidRPr="0052077F">
        <w:rPr>
          <w:rFonts w:cs="Taher"/>
          <w:sz w:val="36"/>
          <w:szCs w:val="36"/>
          <w:shd w:val="clear" w:color="auto" w:fill="FEFFFE"/>
          <w:rtl/>
        </w:rPr>
        <w:t xml:space="preserve"> لا</w:t>
      </w:r>
      <w:r w:rsidR="005568BB" w:rsidRPr="0052077F">
        <w:rPr>
          <w:rFonts w:cs="Taher"/>
          <w:sz w:val="36"/>
          <w:szCs w:val="36"/>
          <w:shd w:val="clear" w:color="auto" w:fill="FEFFFE"/>
          <w:rtl/>
        </w:rPr>
        <w:t>ت</w:t>
      </w:r>
      <w:r w:rsidRPr="0052077F">
        <w:rPr>
          <w:rFonts w:cs="Taher"/>
          <w:sz w:val="36"/>
          <w:szCs w:val="36"/>
          <w:shd w:val="clear" w:color="auto" w:fill="FEFFFE"/>
          <w:rtl/>
        </w:rPr>
        <w:t>نقلب الدعوى وتكون اليد حجةً على الملكية</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هذا وجه عدم حجية اليد في هذه الصورة</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مضافاً إلى أن أد</w:t>
      </w:r>
      <w:r w:rsidRPr="0052077F">
        <w:rPr>
          <w:rFonts w:cs="Taher"/>
          <w:sz w:val="36"/>
          <w:szCs w:val="36"/>
          <w:shd w:val="clear" w:color="auto" w:fill="FEFFFE"/>
          <w:rtl/>
        </w:rPr>
        <w:t>لة حجية اليد لا تشمل هذه الصورة لأن بناء العقلاء فيها على عدم حجية اليد والروايات أيضاً في مقام إمضاء تلك السيرة العقلائية لا أكثر</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وفي كلام السيد الخوئي قدس سره أن رواية حفص وإن كانت مطلقةً ولكن ذيلها</w:t>
      </w:r>
      <w:r w:rsidRPr="0052077F">
        <w:rPr>
          <w:rFonts w:ascii="Al Nile" w:hAnsi="Al Nile" w:cs="Taher"/>
          <w:sz w:val="36"/>
          <w:szCs w:val="36"/>
          <w:shd w:val="clear" w:color="auto" w:fill="FEFFFE"/>
          <w:rtl/>
        </w:rPr>
        <w:t>: (</w:t>
      </w:r>
      <w:r w:rsidRPr="0052077F">
        <w:rPr>
          <w:rFonts w:cs="Taher"/>
          <w:sz w:val="36"/>
          <w:szCs w:val="36"/>
          <w:shd w:val="clear" w:color="auto" w:fill="FEFFFE"/>
          <w:rtl/>
        </w:rPr>
        <w:t>لولا ذلك لما قام للمسلمين سوق</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لا يدل على أكثر من حج</w:t>
      </w:r>
      <w:r w:rsidRPr="0052077F">
        <w:rPr>
          <w:rFonts w:cs="Taher"/>
          <w:sz w:val="36"/>
          <w:szCs w:val="36"/>
          <w:shd w:val="clear" w:color="auto" w:fill="FEFFFE"/>
          <w:rtl/>
        </w:rPr>
        <w:t>ية اليد في موارد النزاع مع غير المالك السابق لعدم لزوم الاختلال من عدم حجية اليد في صورة النزاع مع نفس المالك السابق</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 xml:space="preserve">وأما القول الثاني </w:t>
      </w:r>
      <w:r w:rsidRPr="0052077F">
        <w:rPr>
          <w:rFonts w:ascii="Al Nile" w:hAnsi="Al Nile" w:cs="Taher"/>
          <w:sz w:val="36"/>
          <w:szCs w:val="36"/>
          <w:shd w:val="clear" w:color="auto" w:fill="FEFFFE"/>
          <w:rtl/>
        </w:rPr>
        <w:t xml:space="preserve">- </w:t>
      </w:r>
      <w:bookmarkStart w:id="0" w:name="_GoBack"/>
      <w:bookmarkEnd w:id="0"/>
      <w:r w:rsidRPr="0052077F">
        <w:rPr>
          <w:rFonts w:cs="Taher"/>
          <w:sz w:val="36"/>
          <w:szCs w:val="36"/>
          <w:shd w:val="clear" w:color="auto" w:fill="FEFFFE"/>
          <w:rtl/>
        </w:rPr>
        <w:t xml:space="preserve">وهو قول المحقق الإصفهاني قدس سره </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فقد ذكر له وجهين</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lastRenderedPageBreak/>
        <w:t>الأول</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 xml:space="preserve">أن ما صدر من ذي اليد </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 xml:space="preserve">مع دعوى الملكية الفعلية </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ليس سوى ا</w:t>
      </w:r>
      <w:r w:rsidRPr="0052077F">
        <w:rPr>
          <w:rFonts w:cs="Taher"/>
          <w:sz w:val="36"/>
          <w:szCs w:val="36"/>
          <w:shd w:val="clear" w:color="auto" w:fill="FEFFFE"/>
          <w:rtl/>
        </w:rPr>
        <w:t>لإقرار بملكية الغير السابقة ومجرد الإقرار بالملكية السابقة لا يوجب تشكيل دعوى أخرى</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نعم لو كانت دعوى أخرى لابد أن نلاحظ من هو المدعي ومن هو المنكر فيها</w:t>
      </w:r>
      <w:r w:rsidRPr="0052077F">
        <w:rPr>
          <w:rFonts w:ascii="Al Nile" w:hAnsi="Al Nile" w:cs="Taher"/>
          <w:sz w:val="36"/>
          <w:szCs w:val="36"/>
          <w:shd w:val="clear" w:color="auto" w:fill="FEFFFE"/>
          <w:rtl/>
        </w:rPr>
        <w:t xml:space="preserve">. </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الثاني</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أنه حتى لو كان الإقرار موجباً لتشكيل دعوى جديدة ضمناً أو صريحاً لكن ليس ذلك من موارد انقلاب ال</w:t>
      </w:r>
      <w:r w:rsidRPr="0052077F">
        <w:rPr>
          <w:rFonts w:cs="Taher"/>
          <w:sz w:val="36"/>
          <w:szCs w:val="36"/>
          <w:shd w:val="clear" w:color="auto" w:fill="FEFFFE"/>
          <w:rtl/>
        </w:rPr>
        <w:t xml:space="preserve">دعوى بل المدعي في الدعوى الأولى يبقى مدعياً في الثانية والمنكر </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 xml:space="preserve">وهو ذو اليد </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يبقى منكراً وتبقى اليد حجةً له</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توضيح الوجه الأول أن الدعوى من الدعاء وطلب الشيء ويصدق عنوان الدعاء فيما وقع شيء مورداً للطلب وما لم يقع مورداً للطلب لا يدخل في مصبّ الدعوى وفيم</w:t>
      </w:r>
      <w:r w:rsidRPr="0052077F">
        <w:rPr>
          <w:rFonts w:cs="Taher"/>
          <w:sz w:val="36"/>
          <w:szCs w:val="36"/>
          <w:shd w:val="clear" w:color="auto" w:fill="FEFFFE"/>
          <w:rtl/>
        </w:rPr>
        <w:t>ا نحن فيه يدعي ذو اليد الملكية الفعلية ومقتضى حجية يده أنه منكر فبلحاظ هذه الدعوى قوله موافق للحجة ويكون منكراً</w:t>
      </w:r>
      <w:r w:rsidRPr="0052077F">
        <w:rPr>
          <w:rFonts w:ascii="Al Nile" w:hAnsi="Al Nile" w:cs="Taher"/>
          <w:sz w:val="36"/>
          <w:szCs w:val="36"/>
          <w:shd w:val="clear" w:color="auto" w:fill="FEFFFE"/>
          <w:rtl/>
        </w:rPr>
        <w:t xml:space="preserve">. </w:t>
      </w:r>
      <w:r w:rsidRPr="0052077F">
        <w:rPr>
          <w:rFonts w:cs="Taher"/>
          <w:sz w:val="36"/>
          <w:szCs w:val="36"/>
          <w:shd w:val="clear" w:color="auto" w:fill="FEFFFE"/>
          <w:rtl/>
        </w:rPr>
        <w:t>وإقراره ب</w:t>
      </w:r>
      <w:r w:rsidRPr="0052077F">
        <w:rPr>
          <w:rFonts w:cs="Taher"/>
          <w:sz w:val="36"/>
          <w:szCs w:val="36"/>
          <w:shd w:val="clear" w:color="auto" w:fill="FEFFFE"/>
          <w:rtl/>
        </w:rPr>
        <w:t xml:space="preserve">الملكية السابقة للغير </w:t>
      </w:r>
      <w:r w:rsidRPr="0052077F">
        <w:rPr>
          <w:rFonts w:cs="Taher"/>
          <w:sz w:val="36"/>
          <w:szCs w:val="36"/>
          <w:shd w:val="clear" w:color="auto" w:fill="FEFFFE"/>
          <w:rtl/>
        </w:rPr>
        <w:t xml:space="preserve">لو انضم إلى دعوى الملكية الفعلية وإن كان لازم المجموع بالدلالة الالتزامية </w:t>
      </w:r>
      <w:r w:rsidR="0052077F" w:rsidRPr="0052077F">
        <w:rPr>
          <w:rFonts w:cs="Taher"/>
          <w:sz w:val="36"/>
          <w:szCs w:val="36"/>
          <w:shd w:val="clear" w:color="auto" w:fill="FEFFFE"/>
          <w:rtl/>
        </w:rPr>
        <w:t xml:space="preserve">هو </w:t>
      </w:r>
      <w:r w:rsidRPr="0052077F">
        <w:rPr>
          <w:rFonts w:cs="Taher"/>
          <w:sz w:val="36"/>
          <w:szCs w:val="36"/>
          <w:shd w:val="clear" w:color="auto" w:fill="FEFFFE"/>
          <w:rtl/>
        </w:rPr>
        <w:t xml:space="preserve">الإخبار بالانتقال إليه من المالك </w:t>
      </w:r>
      <w:r w:rsidRPr="0052077F">
        <w:rPr>
          <w:rFonts w:cs="Taher"/>
          <w:sz w:val="36"/>
          <w:szCs w:val="36"/>
          <w:shd w:val="clear" w:color="auto" w:fill="FEFFFE"/>
          <w:rtl/>
        </w:rPr>
        <w:t>السابق ولكن مجرد الدلالة الالتزامية لا يوجب تشكيل دعوى جديدة في ناحية اللازم لأن الانتقال لم يكن مورداً لطلبه ولتعيين المدعي والمنكر لابد من ملاحظة ما يدخل تحت طلب ذي اليد لا كل ما أخبر به ولو بالدلالة الالتزامية</w:t>
      </w:r>
      <w:r w:rsidRPr="0052077F">
        <w:rPr>
          <w:rFonts w:ascii="Al Nile" w:hAnsi="Al Nile" w:cs="Taher"/>
          <w:sz w:val="36"/>
          <w:szCs w:val="36"/>
          <w:shd w:val="clear" w:color="auto" w:fill="FEFFFE"/>
          <w:rtl/>
        </w:rPr>
        <w:t>.</w:t>
      </w:r>
    </w:p>
    <w:p w:rsidR="001B4FD3" w:rsidRPr="0052077F" w:rsidRDefault="0052077F"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 xml:space="preserve">والشاهد علی </w:t>
      </w:r>
      <w:r w:rsidR="004631EE" w:rsidRPr="0052077F">
        <w:rPr>
          <w:rFonts w:cs="Taher"/>
          <w:sz w:val="36"/>
          <w:szCs w:val="36"/>
          <w:shd w:val="clear" w:color="auto" w:fill="FEFFFE"/>
          <w:rtl/>
        </w:rPr>
        <w:t xml:space="preserve">ذلك </w:t>
      </w:r>
      <w:r w:rsidRPr="0052077F">
        <w:rPr>
          <w:rFonts w:cs="Taher"/>
          <w:sz w:val="36"/>
          <w:szCs w:val="36"/>
          <w:shd w:val="clear" w:color="auto" w:fill="FEFFFE"/>
          <w:rtl/>
        </w:rPr>
        <w:t xml:space="preserve">انه </w:t>
      </w:r>
      <w:r w:rsidR="004631EE" w:rsidRPr="0052077F">
        <w:rPr>
          <w:rFonts w:cs="Taher"/>
          <w:sz w:val="36"/>
          <w:szCs w:val="36"/>
          <w:shd w:val="clear" w:color="auto" w:fill="FEFFFE"/>
          <w:rtl/>
        </w:rPr>
        <w:t>لو وقع النزاع في</w:t>
      </w:r>
      <w:r w:rsidR="008536DE" w:rsidRPr="0052077F">
        <w:rPr>
          <w:rFonts w:cs="Taher"/>
          <w:sz w:val="36"/>
          <w:szCs w:val="36"/>
          <w:shd w:val="clear" w:color="auto" w:fill="FEFFFE"/>
          <w:rtl/>
        </w:rPr>
        <w:t xml:space="preserve"> المعاملة التي</w:t>
      </w:r>
      <w:r w:rsidR="004631EE" w:rsidRPr="0052077F">
        <w:rPr>
          <w:rFonts w:cs="Taher"/>
          <w:sz w:val="36"/>
          <w:szCs w:val="36"/>
          <w:shd w:val="clear" w:color="auto" w:fill="FEFFFE"/>
          <w:rtl/>
        </w:rPr>
        <w:t xml:space="preserve"> وقع</w:t>
      </w:r>
      <w:r w:rsidR="008536DE" w:rsidRPr="0052077F">
        <w:rPr>
          <w:rFonts w:cs="Taher"/>
          <w:sz w:val="36"/>
          <w:szCs w:val="36"/>
          <w:shd w:val="clear" w:color="auto" w:fill="FEFFFE"/>
          <w:rtl/>
        </w:rPr>
        <w:t>ت</w:t>
      </w:r>
      <w:r w:rsidR="004631EE" w:rsidRPr="0052077F">
        <w:rPr>
          <w:rFonts w:cs="Taher"/>
          <w:sz w:val="36"/>
          <w:szCs w:val="36"/>
          <w:shd w:val="clear" w:color="auto" w:fill="FEFFFE"/>
          <w:rtl/>
        </w:rPr>
        <w:t xml:space="preserve"> بين الطرفين ف</w:t>
      </w:r>
      <w:r w:rsidR="004631EE" w:rsidRPr="0052077F">
        <w:rPr>
          <w:rFonts w:cs="Taher"/>
          <w:sz w:val="36"/>
          <w:szCs w:val="36"/>
          <w:shd w:val="clear" w:color="auto" w:fill="FEFFFE"/>
          <w:rtl/>
        </w:rPr>
        <w:t>يقول أحدهما أنه كان بيعاً ويقول الآخر أنه كان هبةً فلتشخيص المدعي والمنكر لابد من ملاحظة ما يطلبه كل منهما فإن كان يطلب كل منهما عنوان البيع وعنوان الهبة بقطع النظر عن ال</w:t>
      </w:r>
      <w:r w:rsidRPr="0052077F">
        <w:rPr>
          <w:rFonts w:cs="Taher"/>
          <w:sz w:val="36"/>
          <w:szCs w:val="36"/>
          <w:shd w:val="clear" w:color="auto" w:fill="FEFFFE"/>
          <w:rtl/>
        </w:rPr>
        <w:t>لوازم المختلفة فهذا</w:t>
      </w:r>
      <w:r w:rsidR="004631EE" w:rsidRPr="0052077F">
        <w:rPr>
          <w:rFonts w:cs="Taher"/>
          <w:sz w:val="36"/>
          <w:szCs w:val="36"/>
          <w:shd w:val="clear" w:color="auto" w:fill="FEFFFE"/>
          <w:rtl/>
        </w:rPr>
        <w:t xml:space="preserve"> يكون من موارد التداعي ولكن إن كان طالب البيع يقصد أخذ العوض وجعل عنوان البيع وسي</w:t>
      </w:r>
      <w:r w:rsidR="004631EE" w:rsidRPr="0052077F">
        <w:rPr>
          <w:rFonts w:cs="Taher"/>
          <w:sz w:val="36"/>
          <w:szCs w:val="36"/>
          <w:shd w:val="clear" w:color="auto" w:fill="FEFFFE"/>
          <w:rtl/>
        </w:rPr>
        <w:t xml:space="preserve">لةً لأخذ العوض يكون طالب البيع مدعياً وطالب الهبة منكراً وإن </w:t>
      </w:r>
      <w:r w:rsidR="004631EE" w:rsidRPr="0052077F">
        <w:rPr>
          <w:rFonts w:cs="Taher"/>
          <w:sz w:val="36"/>
          <w:szCs w:val="36"/>
          <w:shd w:val="clear" w:color="auto" w:fill="FEFFFE"/>
          <w:rtl/>
        </w:rPr>
        <w:lastRenderedPageBreak/>
        <w:t xml:space="preserve">كان طالب الهبة </w:t>
      </w:r>
      <w:r w:rsidR="004631EE" w:rsidRPr="0052077F">
        <w:rPr>
          <w:rFonts w:ascii="Al Nile" w:hAnsi="Al Nile" w:cs="Taher"/>
          <w:sz w:val="36"/>
          <w:szCs w:val="36"/>
          <w:shd w:val="clear" w:color="auto" w:fill="FEFFFE"/>
          <w:rtl/>
        </w:rPr>
        <w:t xml:space="preserve">- </w:t>
      </w:r>
      <w:r w:rsidR="004631EE" w:rsidRPr="0052077F">
        <w:rPr>
          <w:rFonts w:cs="Taher"/>
          <w:sz w:val="36"/>
          <w:szCs w:val="36"/>
          <w:shd w:val="clear" w:color="auto" w:fill="FEFFFE"/>
          <w:rtl/>
        </w:rPr>
        <w:t xml:space="preserve">وهو المالك السابق وكان الطرف الأخر غير ذي رحمه </w:t>
      </w:r>
      <w:r w:rsidR="004631EE" w:rsidRPr="0052077F">
        <w:rPr>
          <w:rFonts w:ascii="Al Nile" w:hAnsi="Al Nile" w:cs="Taher"/>
          <w:sz w:val="36"/>
          <w:szCs w:val="36"/>
          <w:shd w:val="clear" w:color="auto" w:fill="FEFFFE"/>
          <w:rtl/>
        </w:rPr>
        <w:t xml:space="preserve">- </w:t>
      </w:r>
      <w:r w:rsidR="004631EE" w:rsidRPr="0052077F">
        <w:rPr>
          <w:rFonts w:cs="Taher"/>
          <w:sz w:val="36"/>
          <w:szCs w:val="36"/>
          <w:shd w:val="clear" w:color="auto" w:fill="FEFFFE"/>
          <w:rtl/>
        </w:rPr>
        <w:t>يقصد جواز الرجوع وجعل عنوان الهبة وسيلةً للرجوع يكون طالب الهبة مدعياً وطالب البيع منكراً</w:t>
      </w:r>
      <w:r w:rsidR="008536DE" w:rsidRPr="0052077F">
        <w:rPr>
          <w:rFonts w:ascii="Al Nile" w:hAnsi="Al Nile" w:cs="Taher"/>
          <w:sz w:val="36"/>
          <w:szCs w:val="36"/>
          <w:shd w:val="clear" w:color="auto" w:fill="FEFFFE"/>
          <w:rtl/>
        </w:rPr>
        <w:t xml:space="preserve"> لان الاصل في المعاملة هواللزوم وعدم جواز الرجوع</w:t>
      </w:r>
      <w:r w:rsidR="004631EE"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فالملاك في تحقق الدعوى وعدم تحققها طلب</w:t>
      </w:r>
      <w:r w:rsidRPr="0052077F">
        <w:rPr>
          <w:rFonts w:cs="Taher"/>
          <w:sz w:val="36"/>
          <w:szCs w:val="36"/>
          <w:shd w:val="clear" w:color="auto" w:fill="FEFFFE"/>
          <w:rtl/>
        </w:rPr>
        <w:t xml:space="preserve"> الشيء فمتى ما وقع شيء مورداً للطلب صدق عنوان الدعوى بالنسبة إليه</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ascii="Al Nile" w:eastAsia="Al Nile" w:hAnsi="Al Nile" w:cs="Taher" w:hint="default"/>
          <w:sz w:val="36"/>
          <w:szCs w:val="36"/>
          <w:shd w:val="clear" w:color="auto" w:fill="FEFFFE"/>
          <w:rtl/>
        </w:rPr>
      </w:pPr>
      <w:r w:rsidRPr="0052077F">
        <w:rPr>
          <w:rFonts w:cs="Taher"/>
          <w:sz w:val="36"/>
          <w:szCs w:val="36"/>
          <w:shd w:val="clear" w:color="auto" w:fill="FEFFFE"/>
          <w:rtl/>
        </w:rPr>
        <w:t>وفي ما نحن فيه ليس الانتقال مورداً للطلب فلم تتحقق دعوى جديدة لتترتب آثارها</w:t>
      </w:r>
      <w:r w:rsidRPr="0052077F">
        <w:rPr>
          <w:rFonts w:ascii="Al Nile" w:hAnsi="Al Nile" w:cs="Taher"/>
          <w:sz w:val="36"/>
          <w:szCs w:val="36"/>
          <w:shd w:val="clear" w:color="auto" w:fill="FEFFFE"/>
          <w:rtl/>
        </w:rPr>
        <w:t>.</w:t>
      </w:r>
    </w:p>
    <w:p w:rsidR="001B4FD3" w:rsidRPr="0052077F" w:rsidRDefault="004631EE" w:rsidP="0052077F">
      <w:pPr>
        <w:pStyle w:val="a4"/>
        <w:jc w:val="highKashida"/>
        <w:rPr>
          <w:rFonts w:cs="Taher" w:hint="default"/>
          <w:rtl/>
        </w:rPr>
      </w:pPr>
      <w:r w:rsidRPr="0052077F">
        <w:rPr>
          <w:rFonts w:cs="Taher"/>
          <w:sz w:val="36"/>
          <w:szCs w:val="36"/>
          <w:shd w:val="clear" w:color="auto" w:fill="FEFFFE"/>
          <w:rtl/>
        </w:rPr>
        <w:t xml:space="preserve">وتوضيح الوجه الثاني أنا لو سلمنا تحقق الدعوى الجديدة ولكن لا يختلف الحكم فيها بل نفس حكم الدعوى الأولى ثابت لأن </w:t>
      </w:r>
      <w:r w:rsidRPr="0052077F">
        <w:rPr>
          <w:rFonts w:cs="Taher"/>
          <w:sz w:val="36"/>
          <w:szCs w:val="36"/>
          <w:shd w:val="clear" w:color="auto" w:fill="FEFFFE"/>
          <w:rtl/>
        </w:rPr>
        <w:t>اليد أمارة ومثبتات الأمارة حجة فالأمارة على المسبب أمارة على السبب ففي نحن فيه ولو حصلت دعوى جديدة وهي أن ذا اليد يدعي الانتقال والمالك السابق ينكر الانتقال ولكن قول ذي اليد موافق للحجة لأن يده حجة في الملكية الفعلية وهي المسبب ف</w:t>
      </w:r>
      <w:r w:rsidR="008536DE" w:rsidRPr="0052077F">
        <w:rPr>
          <w:rFonts w:cs="Taher"/>
          <w:sz w:val="36"/>
          <w:szCs w:val="36"/>
          <w:shd w:val="clear" w:color="auto" w:fill="FEFFFE"/>
          <w:rtl/>
        </w:rPr>
        <w:t xml:space="preserve">يکون </w:t>
      </w:r>
      <w:r w:rsidRPr="0052077F">
        <w:rPr>
          <w:rFonts w:cs="Taher"/>
          <w:sz w:val="36"/>
          <w:szCs w:val="36"/>
          <w:shd w:val="clear" w:color="auto" w:fill="FEFFFE"/>
          <w:rtl/>
        </w:rPr>
        <w:t>يده حجة في الانتقال أيضاً و</w:t>
      </w:r>
      <w:r w:rsidRPr="0052077F">
        <w:rPr>
          <w:rFonts w:cs="Taher"/>
          <w:sz w:val="36"/>
          <w:szCs w:val="36"/>
          <w:shd w:val="clear" w:color="auto" w:fill="FEFFFE"/>
          <w:rtl/>
        </w:rPr>
        <w:t>هو السبب ومع وجود اليد لا تصل النوبة إلى استصحاب عدم الانتقال ليكون حجةً للمالك السابق</w:t>
      </w:r>
      <w:r w:rsidRPr="0052077F">
        <w:rPr>
          <w:rFonts w:ascii="Al Nile" w:hAnsi="Al Nile" w:cs="Taher"/>
          <w:sz w:val="36"/>
          <w:szCs w:val="36"/>
          <w:shd w:val="clear" w:color="auto" w:fill="FEFFFE"/>
          <w:rtl/>
        </w:rPr>
        <w:t>.</w:t>
      </w:r>
    </w:p>
    <w:sectPr w:rsidR="001B4FD3" w:rsidRPr="0052077F">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EE" w:rsidRDefault="004631EE">
      <w:r>
        <w:separator/>
      </w:r>
    </w:p>
  </w:endnote>
  <w:endnote w:type="continuationSeparator" w:id="0">
    <w:p w:rsidR="004631EE" w:rsidRDefault="0046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EE" w:rsidRDefault="004631EE">
      <w:r>
        <w:separator/>
      </w:r>
    </w:p>
  </w:footnote>
  <w:footnote w:type="continuationSeparator" w:id="0">
    <w:p w:rsidR="004631EE" w:rsidRDefault="00463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196951"/>
      <w:docPartObj>
        <w:docPartGallery w:val="Page Numbers (Top of Page)"/>
        <w:docPartUnique/>
      </w:docPartObj>
    </w:sdtPr>
    <w:sdtContent>
      <w:p w:rsidR="0052077F" w:rsidRDefault="0052077F">
        <w:pPr>
          <w:pStyle w:val="a5"/>
        </w:pPr>
        <w:r>
          <w:fldChar w:fldCharType="begin"/>
        </w:r>
        <w:r>
          <w:instrText>PAGE   \* MERGEFORMAT</w:instrText>
        </w:r>
        <w:r>
          <w:fldChar w:fldCharType="separate"/>
        </w:r>
        <w:r w:rsidR="00711554" w:rsidRPr="00711554">
          <w:rPr>
            <w:noProof/>
            <w:lang w:val="fa-IR"/>
          </w:rPr>
          <w:t>4</w:t>
        </w:r>
        <w:r>
          <w:rPr>
            <w:noProof/>
          </w:rPr>
          <w:fldChar w:fldCharType="end"/>
        </w:r>
      </w:p>
    </w:sdtContent>
  </w:sdt>
  <w:p w:rsidR="001B4FD3" w:rsidRDefault="001B4F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4FD3"/>
    <w:rsid w:val="001B4FD3"/>
    <w:rsid w:val="004631EE"/>
    <w:rsid w:val="0052077F"/>
    <w:rsid w:val="005568BB"/>
    <w:rsid w:val="00711554"/>
    <w:rsid w:val="008536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52077F"/>
    <w:pPr>
      <w:tabs>
        <w:tab w:val="center" w:pos="4513"/>
        <w:tab w:val="right" w:pos="9026"/>
      </w:tabs>
    </w:pPr>
  </w:style>
  <w:style w:type="character" w:customStyle="1" w:styleId="a6">
    <w:name w:val="سرصفحه نویسه"/>
    <w:basedOn w:val="a0"/>
    <w:link w:val="a5"/>
    <w:uiPriority w:val="99"/>
    <w:rsid w:val="0052077F"/>
    <w:rPr>
      <w:sz w:val="24"/>
      <w:szCs w:val="24"/>
      <w:lang w:bidi="ar-SA"/>
    </w:rPr>
  </w:style>
  <w:style w:type="paragraph" w:styleId="a7">
    <w:name w:val="footer"/>
    <w:basedOn w:val="a"/>
    <w:link w:val="a8"/>
    <w:uiPriority w:val="99"/>
    <w:unhideWhenUsed/>
    <w:rsid w:val="0052077F"/>
    <w:pPr>
      <w:tabs>
        <w:tab w:val="center" w:pos="4513"/>
        <w:tab w:val="right" w:pos="9026"/>
      </w:tabs>
    </w:pPr>
  </w:style>
  <w:style w:type="character" w:customStyle="1" w:styleId="a8">
    <w:name w:val="پانویس نویسه"/>
    <w:basedOn w:val="a0"/>
    <w:link w:val="a7"/>
    <w:uiPriority w:val="99"/>
    <w:rsid w:val="0052077F"/>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52077F"/>
    <w:pPr>
      <w:tabs>
        <w:tab w:val="center" w:pos="4513"/>
        <w:tab w:val="right" w:pos="9026"/>
      </w:tabs>
    </w:pPr>
  </w:style>
  <w:style w:type="character" w:customStyle="1" w:styleId="a6">
    <w:name w:val="سرصفحه نویسه"/>
    <w:basedOn w:val="a0"/>
    <w:link w:val="a5"/>
    <w:uiPriority w:val="99"/>
    <w:rsid w:val="0052077F"/>
    <w:rPr>
      <w:sz w:val="24"/>
      <w:szCs w:val="24"/>
      <w:lang w:bidi="ar-SA"/>
    </w:rPr>
  </w:style>
  <w:style w:type="paragraph" w:styleId="a7">
    <w:name w:val="footer"/>
    <w:basedOn w:val="a"/>
    <w:link w:val="a8"/>
    <w:uiPriority w:val="99"/>
    <w:unhideWhenUsed/>
    <w:rsid w:val="0052077F"/>
    <w:pPr>
      <w:tabs>
        <w:tab w:val="center" w:pos="4513"/>
        <w:tab w:val="right" w:pos="9026"/>
      </w:tabs>
    </w:pPr>
  </w:style>
  <w:style w:type="character" w:customStyle="1" w:styleId="a8">
    <w:name w:val="پانویس نویسه"/>
    <w:basedOn w:val="a0"/>
    <w:link w:val="a7"/>
    <w:uiPriority w:val="99"/>
    <w:rsid w:val="0052077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727</Words>
  <Characters>4147</Characters>
  <Application>Microsoft Office Word</Application>
  <DocSecurity>0</DocSecurity>
  <Lines>34</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2019-02-26T18:31:00Z</cp:lastPrinted>
  <dcterms:created xsi:type="dcterms:W3CDTF">2019-02-26T17:31:00Z</dcterms:created>
  <dcterms:modified xsi:type="dcterms:W3CDTF">2019-02-26T18:32:00Z</dcterms:modified>
</cp:coreProperties>
</file>