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D80376">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5221C" w:rsidRDefault="0075221C" w:rsidP="0075221C">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436195" w:history="1">
        <w:r w:rsidRPr="0034084D">
          <w:rPr>
            <w:rStyle w:val="ac"/>
            <w:noProof/>
            <w:rtl/>
          </w:rPr>
          <w:t>قسمت 2: جر</w:t>
        </w:r>
        <w:r w:rsidRPr="0034084D">
          <w:rPr>
            <w:rStyle w:val="ac"/>
            <w:rFonts w:hint="cs"/>
            <w:noProof/>
            <w:rtl/>
          </w:rPr>
          <w:t>ی</w:t>
        </w:r>
        <w:r w:rsidRPr="0034084D">
          <w:rPr>
            <w:rStyle w:val="ac"/>
            <w:rFonts w:hint="eastAsia"/>
            <w:noProof/>
            <w:rtl/>
          </w:rPr>
          <w:t>ان</w:t>
        </w:r>
        <w:r w:rsidRPr="0034084D">
          <w:rPr>
            <w:rStyle w:val="ac"/>
            <w:noProof/>
            <w:rtl/>
          </w:rPr>
          <w:t xml:space="preserve"> قاعده </w:t>
        </w:r>
        <w:r w:rsidRPr="0034084D">
          <w:rPr>
            <w:rStyle w:val="ac"/>
            <w:rFonts w:hint="cs"/>
            <w:noProof/>
            <w:rtl/>
          </w:rPr>
          <w:t>ی</w:t>
        </w:r>
        <w:r w:rsidRPr="0034084D">
          <w:rPr>
            <w:rStyle w:val="ac"/>
            <w:rFonts w:hint="eastAsia"/>
            <w:noProof/>
            <w:rtl/>
          </w:rPr>
          <w:t>د</w:t>
        </w:r>
        <w:r w:rsidRPr="0034084D">
          <w:rPr>
            <w:rStyle w:val="ac"/>
            <w:noProof/>
            <w:rtl/>
          </w:rPr>
          <w:t xml:space="preserve"> در مورد حق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Toc1436195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75221C" w:rsidRDefault="00DF64D2" w:rsidP="0075221C">
      <w:pPr>
        <w:pStyle w:val="22"/>
        <w:tabs>
          <w:tab w:val="right" w:leader="dot" w:pos="10194"/>
        </w:tabs>
        <w:rPr>
          <w:rFonts w:asciiTheme="minorHAnsi" w:eastAsiaTheme="minorEastAsia" w:hAnsiTheme="minorHAnsi" w:cstheme="minorBidi"/>
          <w:bCs w:val="0"/>
          <w:noProof/>
          <w:color w:val="auto"/>
          <w:szCs w:val="22"/>
          <w:rtl/>
          <w:lang w:bidi="ar-SA"/>
        </w:rPr>
      </w:pPr>
      <w:hyperlink w:anchor="_Toc1436196" w:history="1">
        <w:r w:rsidR="0075221C" w:rsidRPr="0034084D">
          <w:rPr>
            <w:rStyle w:val="ac"/>
            <w:noProof/>
            <w:rtl/>
          </w:rPr>
          <w:t>مثال ها</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Toc1436196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2</w:t>
        </w:r>
        <w:r w:rsidR="0075221C">
          <w:rPr>
            <w:noProof/>
            <w:webHidden/>
            <w:rtl/>
          </w:rPr>
          <w:fldChar w:fldCharType="end"/>
        </w:r>
      </w:hyperlink>
    </w:p>
    <w:p w:rsidR="0075221C" w:rsidRDefault="00DF64D2" w:rsidP="0075221C">
      <w:pPr>
        <w:pStyle w:val="22"/>
        <w:tabs>
          <w:tab w:val="right" w:leader="dot" w:pos="10194"/>
        </w:tabs>
        <w:rPr>
          <w:rFonts w:asciiTheme="minorHAnsi" w:eastAsiaTheme="minorEastAsia" w:hAnsiTheme="minorHAnsi" w:cstheme="minorBidi"/>
          <w:bCs w:val="0"/>
          <w:noProof/>
          <w:color w:val="auto"/>
          <w:szCs w:val="22"/>
          <w:rtl/>
          <w:lang w:bidi="ar-SA"/>
        </w:rPr>
      </w:pPr>
      <w:hyperlink w:anchor="_Toc1436197" w:history="1">
        <w:r w:rsidR="0075221C" w:rsidRPr="0034084D">
          <w:rPr>
            <w:rStyle w:val="ac"/>
            <w:noProof/>
            <w:rtl/>
          </w:rPr>
          <w:t>دلائل جر</w:t>
        </w:r>
        <w:r w:rsidR="0075221C" w:rsidRPr="0034084D">
          <w:rPr>
            <w:rStyle w:val="ac"/>
            <w:rFonts w:hint="cs"/>
            <w:noProof/>
            <w:rtl/>
          </w:rPr>
          <w:t>ی</w:t>
        </w:r>
        <w:r w:rsidR="0075221C" w:rsidRPr="0034084D">
          <w:rPr>
            <w:rStyle w:val="ac"/>
            <w:rFonts w:hint="eastAsia"/>
            <w:noProof/>
            <w:rtl/>
          </w:rPr>
          <w:t>ان</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Toc1436197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2</w:t>
        </w:r>
        <w:r w:rsidR="0075221C">
          <w:rPr>
            <w:noProof/>
            <w:webHidden/>
            <w:rtl/>
          </w:rPr>
          <w:fldChar w:fldCharType="end"/>
        </w:r>
      </w:hyperlink>
    </w:p>
    <w:p w:rsidR="0075221C" w:rsidRDefault="00DF64D2" w:rsidP="0075221C">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436198" w:history="1">
        <w:r w:rsidR="0075221C" w:rsidRPr="0034084D">
          <w:rPr>
            <w:rStyle w:val="ac"/>
            <w:noProof/>
            <w:rtl/>
          </w:rPr>
          <w:t>بررس</w:t>
        </w:r>
        <w:r w:rsidR="0075221C" w:rsidRPr="0034084D">
          <w:rPr>
            <w:rStyle w:val="ac"/>
            <w:rFonts w:hint="cs"/>
            <w:noProof/>
            <w:rtl/>
          </w:rPr>
          <w:t>ی</w:t>
        </w:r>
        <w:r w:rsidR="0075221C" w:rsidRPr="0034084D">
          <w:rPr>
            <w:rStyle w:val="ac"/>
            <w:noProof/>
            <w:rtl/>
          </w:rPr>
          <w:t xml:space="preserve"> روا</w:t>
        </w:r>
        <w:r w:rsidR="0075221C" w:rsidRPr="0034084D">
          <w:rPr>
            <w:rStyle w:val="ac"/>
            <w:rFonts w:hint="cs"/>
            <w:noProof/>
            <w:rtl/>
          </w:rPr>
          <w:t>ی</w:t>
        </w:r>
        <w:r w:rsidR="0075221C" w:rsidRPr="0034084D">
          <w:rPr>
            <w:rStyle w:val="ac"/>
            <w:noProof/>
            <w:rtl/>
          </w:rPr>
          <w:t>ت خاص</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Toc1436198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2</w:t>
        </w:r>
        <w:r w:rsidR="0075221C">
          <w:rPr>
            <w:noProof/>
            <w:webHidden/>
            <w:rtl/>
          </w:rPr>
          <w:fldChar w:fldCharType="end"/>
        </w:r>
      </w:hyperlink>
    </w:p>
    <w:p w:rsidR="0075221C" w:rsidRDefault="00DF64D2" w:rsidP="0075221C">
      <w:pPr>
        <w:pStyle w:val="42"/>
        <w:tabs>
          <w:tab w:val="right" w:leader="dot" w:pos="10194"/>
        </w:tabs>
        <w:rPr>
          <w:rFonts w:asciiTheme="minorHAnsi" w:eastAsiaTheme="minorEastAsia" w:hAnsiTheme="minorHAnsi" w:cstheme="minorBidi"/>
          <w:bCs w:val="0"/>
          <w:noProof/>
          <w:color w:val="auto"/>
          <w:szCs w:val="22"/>
          <w:rtl/>
          <w:lang w:bidi="ar-SA"/>
        </w:rPr>
      </w:pPr>
      <w:hyperlink w:anchor="_Toc1436199" w:history="1">
        <w:r w:rsidR="0075221C" w:rsidRPr="0034084D">
          <w:rPr>
            <w:rStyle w:val="ac"/>
            <w:noProof/>
            <w:rtl/>
          </w:rPr>
          <w:t>تقر</w:t>
        </w:r>
        <w:r w:rsidR="0075221C" w:rsidRPr="0034084D">
          <w:rPr>
            <w:rStyle w:val="ac"/>
            <w:rFonts w:hint="cs"/>
            <w:noProof/>
            <w:rtl/>
          </w:rPr>
          <w:t>ی</w:t>
        </w:r>
        <w:r w:rsidR="0075221C" w:rsidRPr="0034084D">
          <w:rPr>
            <w:rStyle w:val="ac"/>
            <w:rFonts w:hint="eastAsia"/>
            <w:noProof/>
            <w:rtl/>
          </w:rPr>
          <w:t>ب</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Toc1436199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3</w:t>
        </w:r>
        <w:r w:rsidR="0075221C">
          <w:rPr>
            <w:noProof/>
            <w:webHidden/>
            <w:rtl/>
          </w:rPr>
          <w:fldChar w:fldCharType="end"/>
        </w:r>
      </w:hyperlink>
    </w:p>
    <w:p w:rsidR="0075221C" w:rsidRDefault="00DF64D2" w:rsidP="0075221C">
      <w:pPr>
        <w:pStyle w:val="52"/>
        <w:tabs>
          <w:tab w:val="right" w:leader="dot" w:pos="10194"/>
        </w:tabs>
        <w:rPr>
          <w:rFonts w:asciiTheme="minorHAnsi" w:eastAsiaTheme="minorEastAsia" w:hAnsiTheme="minorHAnsi" w:cstheme="minorBidi"/>
          <w:bCs w:val="0"/>
          <w:noProof/>
          <w:color w:val="auto"/>
          <w:szCs w:val="22"/>
          <w:rtl/>
          <w:lang w:bidi="ar-SA"/>
        </w:rPr>
      </w:pPr>
      <w:hyperlink w:anchor="_Toc1436200" w:history="1">
        <w:r w:rsidR="0075221C" w:rsidRPr="0034084D">
          <w:rPr>
            <w:rStyle w:val="ac"/>
            <w:noProof/>
            <w:rtl/>
          </w:rPr>
          <w:t>مناقشه</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Toc1436200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3</w:t>
        </w:r>
        <w:r w:rsidR="0075221C">
          <w:rPr>
            <w:noProof/>
            <w:webHidden/>
            <w:rtl/>
          </w:rPr>
          <w:fldChar w:fldCharType="end"/>
        </w:r>
      </w:hyperlink>
    </w:p>
    <w:p w:rsidR="0075221C" w:rsidRDefault="00DF64D2" w:rsidP="0075221C">
      <w:pPr>
        <w:pStyle w:val="61"/>
        <w:tabs>
          <w:tab w:val="right" w:leader="dot" w:pos="10194"/>
        </w:tabs>
        <w:rPr>
          <w:rFonts w:asciiTheme="minorHAnsi" w:eastAsiaTheme="minorEastAsia" w:hAnsiTheme="minorHAnsi" w:cstheme="minorBidi"/>
          <w:bCs w:val="0"/>
          <w:noProof/>
          <w:color w:val="auto"/>
          <w:szCs w:val="22"/>
          <w:rtl/>
          <w:lang w:bidi="ar-SA"/>
        </w:rPr>
      </w:pPr>
      <w:hyperlink w:anchor="_Toc1436201" w:history="1">
        <w:r w:rsidR="0075221C" w:rsidRPr="0034084D">
          <w:rPr>
            <w:rStyle w:val="ac"/>
            <w:noProof/>
            <w:rtl/>
          </w:rPr>
          <w:t>تخلّص</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Toc1436201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3</w:t>
        </w:r>
        <w:r w:rsidR="0075221C">
          <w:rPr>
            <w:noProof/>
            <w:webHidden/>
            <w:rtl/>
          </w:rPr>
          <w:fldChar w:fldCharType="end"/>
        </w:r>
      </w:hyperlink>
    </w:p>
    <w:p w:rsidR="0075221C" w:rsidRDefault="00DF64D2" w:rsidP="0075221C">
      <w:pPr>
        <w:pStyle w:val="11"/>
        <w:rPr>
          <w:rFonts w:asciiTheme="minorHAnsi" w:eastAsiaTheme="minorEastAsia" w:hAnsiTheme="minorHAnsi" w:cstheme="minorBidi"/>
          <w:noProof/>
          <w:color w:val="auto"/>
          <w:szCs w:val="22"/>
          <w:rtl/>
          <w:lang w:bidi="ar-SA"/>
        </w:rPr>
      </w:pPr>
      <w:hyperlink w:anchor="_Toc1436202" w:history="1">
        <w:r w:rsidR="0075221C" w:rsidRPr="0034084D">
          <w:rPr>
            <w:rStyle w:val="ac"/>
            <w:noProof/>
            <w:rtl/>
          </w:rPr>
          <w:t>جهت هشتم: بررس</w:t>
        </w:r>
        <w:r w:rsidR="0075221C" w:rsidRPr="0034084D">
          <w:rPr>
            <w:rStyle w:val="ac"/>
            <w:rFonts w:hint="cs"/>
            <w:noProof/>
            <w:rtl/>
          </w:rPr>
          <w:t>ی</w:t>
        </w:r>
        <w:r w:rsidR="0075221C" w:rsidRPr="0034084D">
          <w:rPr>
            <w:rStyle w:val="ac"/>
            <w:noProof/>
            <w:rtl/>
          </w:rPr>
          <w:t xml:space="preserve"> امار</w:t>
        </w:r>
        <w:r w:rsidR="0075221C" w:rsidRPr="0034084D">
          <w:rPr>
            <w:rStyle w:val="ac"/>
            <w:rFonts w:hint="cs"/>
            <w:noProof/>
            <w:rtl/>
          </w:rPr>
          <w:t>ی</w:t>
        </w:r>
        <w:r w:rsidR="0075221C" w:rsidRPr="0034084D">
          <w:rPr>
            <w:rStyle w:val="ac"/>
            <w:rFonts w:hint="eastAsia"/>
            <w:noProof/>
            <w:rtl/>
          </w:rPr>
          <w:t>ت</w:t>
        </w:r>
        <w:r w:rsidR="0075221C" w:rsidRPr="0034084D">
          <w:rPr>
            <w:rStyle w:val="ac"/>
            <w:noProof/>
            <w:rtl/>
          </w:rPr>
          <w:t xml:space="preserve"> </w:t>
        </w:r>
        <w:r w:rsidR="0075221C" w:rsidRPr="0034084D">
          <w:rPr>
            <w:rStyle w:val="ac"/>
            <w:rFonts w:hint="cs"/>
            <w:noProof/>
            <w:rtl/>
          </w:rPr>
          <w:t>ی</w:t>
        </w:r>
        <w:r w:rsidR="0075221C" w:rsidRPr="0034084D">
          <w:rPr>
            <w:rStyle w:val="ac"/>
            <w:rFonts w:hint="eastAsia"/>
            <w:noProof/>
            <w:rtl/>
          </w:rPr>
          <w:t>د</w:t>
        </w:r>
        <w:r w:rsidR="0075221C" w:rsidRPr="0034084D">
          <w:rPr>
            <w:rStyle w:val="ac"/>
            <w:noProof/>
            <w:rtl/>
          </w:rPr>
          <w:t xml:space="preserve"> بر تذک</w:t>
        </w:r>
        <w:r w:rsidR="0075221C" w:rsidRPr="0034084D">
          <w:rPr>
            <w:rStyle w:val="ac"/>
            <w:rFonts w:hint="cs"/>
            <w:noProof/>
            <w:rtl/>
          </w:rPr>
          <w:t>ی</w:t>
        </w:r>
        <w:r w:rsidR="0075221C" w:rsidRPr="0034084D">
          <w:rPr>
            <w:rStyle w:val="ac"/>
            <w:rFonts w:hint="eastAsia"/>
            <w:noProof/>
            <w:rtl/>
          </w:rPr>
          <w:t>ه</w:t>
        </w:r>
        <w:r w:rsidR="0075221C" w:rsidRPr="0034084D">
          <w:rPr>
            <w:rStyle w:val="ac"/>
            <w:noProof/>
            <w:rtl/>
          </w:rPr>
          <w:t xml:space="preserve"> و طهارت</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Toc1436202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4</w:t>
        </w:r>
        <w:r w:rsidR="0075221C">
          <w:rPr>
            <w:noProof/>
            <w:webHidden/>
            <w:rtl/>
          </w:rPr>
          <w:fldChar w:fldCharType="end"/>
        </w:r>
      </w:hyperlink>
    </w:p>
    <w:p w:rsidR="0075221C" w:rsidRDefault="00DF64D2" w:rsidP="0075221C">
      <w:pPr>
        <w:pStyle w:val="22"/>
        <w:tabs>
          <w:tab w:val="right" w:leader="dot" w:pos="10194"/>
        </w:tabs>
        <w:rPr>
          <w:rFonts w:asciiTheme="minorHAnsi" w:eastAsiaTheme="minorEastAsia" w:hAnsiTheme="minorHAnsi" w:cstheme="minorBidi"/>
          <w:bCs w:val="0"/>
          <w:noProof/>
          <w:color w:val="auto"/>
          <w:szCs w:val="22"/>
          <w:rtl/>
          <w:lang w:bidi="ar-SA"/>
        </w:rPr>
      </w:pPr>
      <w:hyperlink w:anchor="_Toc1436203" w:history="1">
        <w:r w:rsidR="0075221C" w:rsidRPr="0034084D">
          <w:rPr>
            <w:rStyle w:val="ac"/>
            <w:noProof/>
            <w:rtl/>
          </w:rPr>
          <w:t>تقر</w:t>
        </w:r>
        <w:r w:rsidR="0075221C" w:rsidRPr="0034084D">
          <w:rPr>
            <w:rStyle w:val="ac"/>
            <w:rFonts w:hint="cs"/>
            <w:noProof/>
            <w:rtl/>
          </w:rPr>
          <w:t>ی</w:t>
        </w:r>
        <w:r w:rsidR="0075221C" w:rsidRPr="0034084D">
          <w:rPr>
            <w:rStyle w:val="ac"/>
            <w:rFonts w:hint="eastAsia"/>
            <w:noProof/>
            <w:rtl/>
          </w:rPr>
          <w:t>ر</w:t>
        </w:r>
        <w:r w:rsidR="0075221C" w:rsidRPr="0034084D">
          <w:rPr>
            <w:rStyle w:val="ac"/>
            <w:noProof/>
            <w:rtl/>
          </w:rPr>
          <w:t xml:space="preserve"> محل بحث</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Toc1436203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4</w:t>
        </w:r>
        <w:r w:rsidR="0075221C">
          <w:rPr>
            <w:noProof/>
            <w:webHidden/>
            <w:rtl/>
          </w:rPr>
          <w:fldChar w:fldCharType="end"/>
        </w:r>
      </w:hyperlink>
    </w:p>
    <w:p w:rsidR="0075221C" w:rsidRDefault="00DF64D2" w:rsidP="0075221C">
      <w:pPr>
        <w:pStyle w:val="22"/>
        <w:tabs>
          <w:tab w:val="right" w:leader="dot" w:pos="10194"/>
        </w:tabs>
        <w:rPr>
          <w:rFonts w:asciiTheme="minorHAnsi" w:eastAsiaTheme="minorEastAsia" w:hAnsiTheme="minorHAnsi" w:cstheme="minorBidi"/>
          <w:bCs w:val="0"/>
          <w:noProof/>
          <w:color w:val="auto"/>
          <w:szCs w:val="22"/>
          <w:rtl/>
          <w:lang w:bidi="ar-SA"/>
        </w:rPr>
      </w:pPr>
      <w:hyperlink w:anchor="_Toc1436204" w:history="1">
        <w:r w:rsidR="0075221C" w:rsidRPr="0034084D">
          <w:rPr>
            <w:rStyle w:val="ac"/>
            <w:noProof/>
            <w:rtl/>
          </w:rPr>
          <w:t>دل</w:t>
        </w:r>
        <w:r w:rsidR="0075221C" w:rsidRPr="0034084D">
          <w:rPr>
            <w:rStyle w:val="ac"/>
            <w:rFonts w:hint="cs"/>
            <w:noProof/>
            <w:rtl/>
          </w:rPr>
          <w:t>ی</w:t>
        </w:r>
        <w:r w:rsidR="0075221C" w:rsidRPr="0034084D">
          <w:rPr>
            <w:rStyle w:val="ac"/>
            <w:rFonts w:hint="eastAsia"/>
            <w:noProof/>
            <w:rtl/>
          </w:rPr>
          <w:t>ل</w:t>
        </w:r>
        <w:r w:rsidR="0075221C" w:rsidRPr="0034084D">
          <w:rPr>
            <w:rStyle w:val="ac"/>
            <w:noProof/>
            <w:rtl/>
          </w:rPr>
          <w:t xml:space="preserve"> امار</w:t>
        </w:r>
        <w:r w:rsidR="0075221C" w:rsidRPr="0034084D">
          <w:rPr>
            <w:rStyle w:val="ac"/>
            <w:rFonts w:hint="cs"/>
            <w:noProof/>
            <w:rtl/>
          </w:rPr>
          <w:t>ی</w:t>
        </w:r>
        <w:r w:rsidR="0075221C" w:rsidRPr="0034084D">
          <w:rPr>
            <w:rStyle w:val="ac"/>
            <w:rFonts w:hint="eastAsia"/>
            <w:noProof/>
            <w:rtl/>
          </w:rPr>
          <w:t>ت</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Toc1436204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4</w:t>
        </w:r>
        <w:r w:rsidR="0075221C">
          <w:rPr>
            <w:noProof/>
            <w:webHidden/>
            <w:rtl/>
          </w:rPr>
          <w:fldChar w:fldCharType="end"/>
        </w:r>
      </w:hyperlink>
    </w:p>
    <w:p w:rsidR="0075221C" w:rsidRDefault="00DF64D2" w:rsidP="0075221C">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436205" w:history="1">
        <w:r w:rsidR="0075221C" w:rsidRPr="0034084D">
          <w:rPr>
            <w:rStyle w:val="ac"/>
            <w:noProof/>
            <w:rtl/>
          </w:rPr>
          <w:t>س</w:t>
        </w:r>
        <w:r w:rsidR="0075221C" w:rsidRPr="0034084D">
          <w:rPr>
            <w:rStyle w:val="ac"/>
            <w:rFonts w:hint="cs"/>
            <w:noProof/>
            <w:rtl/>
          </w:rPr>
          <w:t>ی</w:t>
        </w:r>
        <w:r w:rsidR="0075221C" w:rsidRPr="0034084D">
          <w:rPr>
            <w:rStyle w:val="ac"/>
            <w:rFonts w:hint="eastAsia"/>
            <w:noProof/>
            <w:rtl/>
          </w:rPr>
          <w:t>ره</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Toc1436205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4</w:t>
        </w:r>
        <w:r w:rsidR="0075221C">
          <w:rPr>
            <w:noProof/>
            <w:webHidden/>
            <w:rtl/>
          </w:rPr>
          <w:fldChar w:fldCharType="end"/>
        </w:r>
      </w:hyperlink>
    </w:p>
    <w:p w:rsidR="0075221C" w:rsidRDefault="00DF64D2" w:rsidP="0075221C">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436206" w:history="1">
        <w:r w:rsidR="0075221C" w:rsidRPr="0034084D">
          <w:rPr>
            <w:rStyle w:val="ac"/>
            <w:noProof/>
            <w:rtl/>
          </w:rPr>
          <w:t>روا</w:t>
        </w:r>
        <w:r w:rsidR="0075221C" w:rsidRPr="0034084D">
          <w:rPr>
            <w:rStyle w:val="ac"/>
            <w:rFonts w:hint="cs"/>
            <w:noProof/>
            <w:rtl/>
          </w:rPr>
          <w:t>ی</w:t>
        </w:r>
        <w:r w:rsidR="0075221C" w:rsidRPr="0034084D">
          <w:rPr>
            <w:rStyle w:val="ac"/>
            <w:rFonts w:hint="eastAsia"/>
            <w:noProof/>
            <w:rtl/>
          </w:rPr>
          <w:t>ات</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Toc1436206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4</w:t>
        </w:r>
        <w:r w:rsidR="0075221C">
          <w:rPr>
            <w:noProof/>
            <w:webHidden/>
            <w:rtl/>
          </w:rPr>
          <w:fldChar w:fldCharType="end"/>
        </w:r>
      </w:hyperlink>
    </w:p>
    <w:p w:rsidR="0075221C" w:rsidRDefault="00DF64D2" w:rsidP="0075221C">
      <w:pPr>
        <w:pStyle w:val="42"/>
        <w:tabs>
          <w:tab w:val="right" w:leader="dot" w:pos="10194"/>
        </w:tabs>
        <w:rPr>
          <w:rFonts w:asciiTheme="minorHAnsi" w:eastAsiaTheme="minorEastAsia" w:hAnsiTheme="minorHAnsi" w:cstheme="minorBidi"/>
          <w:bCs w:val="0"/>
          <w:noProof/>
          <w:color w:val="auto"/>
          <w:szCs w:val="22"/>
          <w:rtl/>
          <w:lang w:bidi="ar-SA"/>
        </w:rPr>
      </w:pPr>
      <w:hyperlink w:anchor="_Toc1436207" w:history="1">
        <w:r w:rsidR="0075221C" w:rsidRPr="0034084D">
          <w:rPr>
            <w:rStyle w:val="ac"/>
            <w:noProof/>
            <w:rtl/>
          </w:rPr>
          <w:t>روا</w:t>
        </w:r>
        <w:r w:rsidR="0075221C" w:rsidRPr="0034084D">
          <w:rPr>
            <w:rStyle w:val="ac"/>
            <w:rFonts w:hint="cs"/>
            <w:noProof/>
            <w:rtl/>
          </w:rPr>
          <w:t>ی</w:t>
        </w:r>
        <w:r w:rsidR="0075221C" w:rsidRPr="0034084D">
          <w:rPr>
            <w:rStyle w:val="ac"/>
            <w:rFonts w:hint="eastAsia"/>
            <w:noProof/>
            <w:rtl/>
          </w:rPr>
          <w:t>ت</w:t>
        </w:r>
        <w:r w:rsidR="0075221C" w:rsidRPr="0034084D">
          <w:rPr>
            <w:rStyle w:val="ac"/>
            <w:noProof/>
            <w:rtl/>
          </w:rPr>
          <w:t xml:space="preserve"> 1</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Toc1436207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4</w:t>
        </w:r>
        <w:r w:rsidR="0075221C">
          <w:rPr>
            <w:noProof/>
            <w:webHidden/>
            <w:rtl/>
          </w:rPr>
          <w:fldChar w:fldCharType="end"/>
        </w:r>
      </w:hyperlink>
    </w:p>
    <w:p w:rsidR="0075221C" w:rsidRDefault="00DF64D2" w:rsidP="0075221C">
      <w:pPr>
        <w:pStyle w:val="52"/>
        <w:tabs>
          <w:tab w:val="right" w:leader="dot" w:pos="10194"/>
        </w:tabs>
        <w:rPr>
          <w:rFonts w:asciiTheme="minorHAnsi" w:eastAsiaTheme="minorEastAsia" w:hAnsiTheme="minorHAnsi" w:cstheme="minorBidi"/>
          <w:bCs w:val="0"/>
          <w:noProof/>
          <w:color w:val="auto"/>
          <w:szCs w:val="22"/>
          <w:rtl/>
          <w:lang w:bidi="ar-SA"/>
        </w:rPr>
      </w:pPr>
      <w:hyperlink w:anchor="_Toc1436208" w:history="1">
        <w:r w:rsidR="0075221C" w:rsidRPr="0034084D">
          <w:rPr>
            <w:rStyle w:val="ac"/>
            <w:noProof/>
            <w:rtl/>
          </w:rPr>
          <w:t>مناقشه</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Toc1436208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4</w:t>
        </w:r>
        <w:r w:rsidR="0075221C">
          <w:rPr>
            <w:noProof/>
            <w:webHidden/>
            <w:rtl/>
          </w:rPr>
          <w:fldChar w:fldCharType="end"/>
        </w:r>
      </w:hyperlink>
    </w:p>
    <w:p w:rsidR="0075221C" w:rsidRDefault="00DF64D2" w:rsidP="0075221C">
      <w:pPr>
        <w:pStyle w:val="61"/>
        <w:tabs>
          <w:tab w:val="right" w:leader="dot" w:pos="10194"/>
        </w:tabs>
        <w:rPr>
          <w:rFonts w:asciiTheme="minorHAnsi" w:eastAsiaTheme="minorEastAsia" w:hAnsiTheme="minorHAnsi" w:cstheme="minorBidi"/>
          <w:bCs w:val="0"/>
          <w:noProof/>
          <w:color w:val="auto"/>
          <w:szCs w:val="22"/>
          <w:rtl/>
          <w:lang w:bidi="ar-SA"/>
        </w:rPr>
      </w:pPr>
      <w:hyperlink w:anchor="_Toc1436209" w:history="1">
        <w:r w:rsidR="0075221C" w:rsidRPr="0034084D">
          <w:rPr>
            <w:rStyle w:val="ac"/>
            <w:noProof/>
            <w:rtl/>
          </w:rPr>
          <w:t>تخلّص</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Toc1436209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5</w:t>
        </w:r>
        <w:r w:rsidR="0075221C">
          <w:rPr>
            <w:noProof/>
            <w:webHidden/>
            <w:rtl/>
          </w:rPr>
          <w:fldChar w:fldCharType="end"/>
        </w:r>
      </w:hyperlink>
    </w:p>
    <w:p w:rsidR="0075221C" w:rsidRDefault="00DF64D2" w:rsidP="0075221C">
      <w:pPr>
        <w:pStyle w:val="42"/>
        <w:tabs>
          <w:tab w:val="right" w:leader="dot" w:pos="10194"/>
        </w:tabs>
        <w:rPr>
          <w:rFonts w:asciiTheme="minorHAnsi" w:eastAsiaTheme="minorEastAsia" w:hAnsiTheme="minorHAnsi" w:cstheme="minorBidi"/>
          <w:bCs w:val="0"/>
          <w:noProof/>
          <w:color w:val="auto"/>
          <w:szCs w:val="22"/>
          <w:rtl/>
          <w:lang w:bidi="ar-SA"/>
        </w:rPr>
      </w:pPr>
      <w:hyperlink w:anchor="_Toc1436210" w:history="1">
        <w:r w:rsidR="0075221C" w:rsidRPr="0034084D">
          <w:rPr>
            <w:rStyle w:val="ac"/>
            <w:noProof/>
            <w:rtl/>
          </w:rPr>
          <w:t>روا</w:t>
        </w:r>
        <w:r w:rsidR="0075221C" w:rsidRPr="0034084D">
          <w:rPr>
            <w:rStyle w:val="ac"/>
            <w:rFonts w:hint="cs"/>
            <w:noProof/>
            <w:rtl/>
          </w:rPr>
          <w:t>ی</w:t>
        </w:r>
        <w:r w:rsidR="0075221C" w:rsidRPr="0034084D">
          <w:rPr>
            <w:rStyle w:val="ac"/>
            <w:rFonts w:hint="eastAsia"/>
            <w:noProof/>
            <w:rtl/>
          </w:rPr>
          <w:t>ت</w:t>
        </w:r>
        <w:r w:rsidR="0075221C" w:rsidRPr="0034084D">
          <w:rPr>
            <w:rStyle w:val="ac"/>
            <w:noProof/>
            <w:rtl/>
          </w:rPr>
          <w:t xml:space="preserve"> 2</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Toc1436210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5</w:t>
        </w:r>
        <w:r w:rsidR="0075221C">
          <w:rPr>
            <w:noProof/>
            <w:webHidden/>
            <w:rtl/>
          </w:rPr>
          <w:fldChar w:fldCharType="end"/>
        </w:r>
      </w:hyperlink>
    </w:p>
    <w:p w:rsidR="0075221C" w:rsidRDefault="00DF64D2" w:rsidP="0075221C">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436211" w:history="1">
        <w:r w:rsidR="0075221C" w:rsidRPr="0034084D">
          <w:rPr>
            <w:rStyle w:val="ac"/>
            <w:noProof/>
            <w:rtl/>
          </w:rPr>
          <w:t xml:space="preserve">شرط دلالت </w:t>
        </w:r>
        <w:r w:rsidR="0075221C" w:rsidRPr="0034084D">
          <w:rPr>
            <w:rStyle w:val="ac"/>
            <w:rFonts w:hint="cs"/>
            <w:noProof/>
            <w:rtl/>
          </w:rPr>
          <w:t>ی</w:t>
        </w:r>
        <w:r w:rsidR="0075221C" w:rsidRPr="0034084D">
          <w:rPr>
            <w:rStyle w:val="ac"/>
            <w:rFonts w:hint="eastAsia"/>
            <w:noProof/>
            <w:rtl/>
          </w:rPr>
          <w:t>د</w:t>
        </w:r>
        <w:r w:rsidR="0075221C" w:rsidRPr="0034084D">
          <w:rPr>
            <w:rStyle w:val="ac"/>
            <w:noProof/>
            <w:rtl/>
          </w:rPr>
          <w:t xml:space="preserve"> بر مذک</w:t>
        </w:r>
        <w:r w:rsidR="0075221C" w:rsidRPr="0034084D">
          <w:rPr>
            <w:rStyle w:val="ac"/>
            <w:rFonts w:hint="cs"/>
            <w:noProof/>
            <w:rtl/>
          </w:rPr>
          <w:t>ی</w:t>
        </w:r>
        <w:r w:rsidR="0075221C" w:rsidRPr="0034084D">
          <w:rPr>
            <w:rStyle w:val="ac"/>
            <w:noProof/>
            <w:rtl/>
          </w:rPr>
          <w:t xml:space="preserve"> بودن</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Toc1436211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5</w:t>
        </w:r>
        <w:r w:rsidR="0075221C">
          <w:rPr>
            <w:noProof/>
            <w:webHidden/>
            <w:rtl/>
          </w:rPr>
          <w:fldChar w:fldCharType="end"/>
        </w:r>
      </w:hyperlink>
    </w:p>
    <w:p w:rsidR="0075221C" w:rsidRDefault="00DF64D2" w:rsidP="0075221C">
      <w:pPr>
        <w:pStyle w:val="11"/>
        <w:rPr>
          <w:rFonts w:asciiTheme="minorHAnsi" w:eastAsiaTheme="minorEastAsia" w:hAnsiTheme="minorHAnsi" w:cstheme="minorBidi"/>
          <w:noProof/>
          <w:color w:val="auto"/>
          <w:szCs w:val="22"/>
          <w:rtl/>
          <w:lang w:bidi="ar-SA"/>
        </w:rPr>
      </w:pPr>
      <w:hyperlink w:anchor="_Toc1436212" w:history="1">
        <w:r w:rsidR="0075221C" w:rsidRPr="0034084D">
          <w:rPr>
            <w:rStyle w:val="ac"/>
            <w:noProof/>
            <w:rtl/>
          </w:rPr>
          <w:t>خلاصه جلسه</w:t>
        </w:r>
        <w:r w:rsidR="0075221C">
          <w:rPr>
            <w:noProof/>
            <w:webHidden/>
            <w:rtl/>
          </w:rPr>
          <w:tab/>
        </w:r>
        <w:r w:rsidR="0075221C">
          <w:rPr>
            <w:noProof/>
            <w:webHidden/>
            <w:rtl/>
          </w:rPr>
          <w:fldChar w:fldCharType="begin"/>
        </w:r>
        <w:r w:rsidR="0075221C">
          <w:rPr>
            <w:noProof/>
            <w:webHidden/>
            <w:rtl/>
          </w:rPr>
          <w:instrText xml:space="preserve"> </w:instrText>
        </w:r>
        <w:r w:rsidR="0075221C">
          <w:rPr>
            <w:noProof/>
            <w:webHidden/>
          </w:rPr>
          <w:instrText>PAGEREF</w:instrText>
        </w:r>
        <w:r w:rsidR="0075221C">
          <w:rPr>
            <w:noProof/>
            <w:webHidden/>
            <w:rtl/>
          </w:rPr>
          <w:instrText xml:space="preserve"> _</w:instrText>
        </w:r>
        <w:r w:rsidR="0075221C">
          <w:rPr>
            <w:noProof/>
            <w:webHidden/>
          </w:rPr>
          <w:instrText>Toc1436212 \h</w:instrText>
        </w:r>
        <w:r w:rsidR="0075221C">
          <w:rPr>
            <w:noProof/>
            <w:webHidden/>
            <w:rtl/>
          </w:rPr>
          <w:instrText xml:space="preserve"> </w:instrText>
        </w:r>
        <w:r w:rsidR="0075221C">
          <w:rPr>
            <w:noProof/>
            <w:webHidden/>
            <w:rtl/>
          </w:rPr>
        </w:r>
        <w:r w:rsidR="0075221C">
          <w:rPr>
            <w:noProof/>
            <w:webHidden/>
            <w:rtl/>
          </w:rPr>
          <w:fldChar w:fldCharType="separate"/>
        </w:r>
        <w:r w:rsidR="0075221C">
          <w:rPr>
            <w:noProof/>
            <w:webHidden/>
            <w:rtl/>
          </w:rPr>
          <w:t>5</w:t>
        </w:r>
        <w:r w:rsidR="0075221C">
          <w:rPr>
            <w:noProof/>
            <w:webHidden/>
            <w:rtl/>
          </w:rPr>
          <w:fldChar w:fldCharType="end"/>
        </w:r>
      </w:hyperlink>
    </w:p>
    <w:p w:rsidR="00C91EB6" w:rsidRPr="00C91EB6" w:rsidRDefault="0075221C" w:rsidP="00D80376">
      <w:pPr>
        <w:jc w:val="both"/>
      </w:pPr>
      <w:r>
        <w:rPr>
          <w:rFonts w:cs="B Titr"/>
          <w:noProof/>
          <w:webHidden/>
          <w:color w:val="632423" w:themeColor="accent2" w:themeShade="80"/>
          <w:szCs w:val="24"/>
          <w:rtl/>
        </w:rPr>
        <w:fldChar w:fldCharType="end"/>
      </w:r>
    </w:p>
    <w:p w:rsidR="00F343FB" w:rsidRPr="00A6366F" w:rsidRDefault="00F842AD" w:rsidP="00B85904">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B85904" w:rsidRPr="00B85904">
        <w:rPr>
          <w:rtl/>
        </w:rPr>
        <w:t>جر</w:t>
      </w:r>
      <w:r w:rsidR="00B85904" w:rsidRPr="00B85904">
        <w:rPr>
          <w:rFonts w:hint="cs"/>
          <w:rtl/>
        </w:rPr>
        <w:t>ی</w:t>
      </w:r>
      <w:r w:rsidR="00B85904" w:rsidRPr="00B85904">
        <w:rPr>
          <w:rFonts w:hint="eastAsia"/>
          <w:rtl/>
        </w:rPr>
        <w:t>ان</w:t>
      </w:r>
      <w:r w:rsidR="00B85904">
        <w:rPr>
          <w:rFonts w:hint="cs"/>
          <w:rtl/>
        </w:rPr>
        <w:t xml:space="preserve"> قاعده</w:t>
      </w:r>
      <w:r w:rsidR="00B85904" w:rsidRPr="00B85904">
        <w:rPr>
          <w:rtl/>
        </w:rPr>
        <w:t xml:space="preserve"> </w:t>
      </w:r>
      <w:r w:rsidR="00B85904" w:rsidRPr="00B85904">
        <w:rPr>
          <w:rFonts w:hint="cs"/>
          <w:rtl/>
        </w:rPr>
        <w:t>ی</w:t>
      </w:r>
      <w:r w:rsidR="00B85904" w:rsidRPr="00B85904">
        <w:rPr>
          <w:rFonts w:hint="eastAsia"/>
          <w:rtl/>
        </w:rPr>
        <w:t>د</w:t>
      </w:r>
      <w:r w:rsidR="00B85904" w:rsidRPr="00B85904">
        <w:rPr>
          <w:rtl/>
        </w:rPr>
        <w:t xml:space="preserve"> در</w:t>
      </w:r>
      <w:r w:rsidR="00B22986">
        <w:rPr>
          <w:rFonts w:hint="cs"/>
          <w:rtl/>
        </w:rPr>
        <w:t xml:space="preserve"> مورد شک در</w:t>
      </w:r>
      <w:r w:rsidR="00B85904" w:rsidRPr="00B85904">
        <w:rPr>
          <w:rtl/>
        </w:rPr>
        <w:t xml:space="preserve"> حقوق و</w:t>
      </w:r>
      <w:r w:rsidR="00D248BC">
        <w:rPr>
          <w:rFonts w:hint="cs"/>
          <w:rtl/>
        </w:rPr>
        <w:t xml:space="preserve"> در</w:t>
      </w:r>
      <w:r w:rsidR="00B85904" w:rsidRPr="00B85904">
        <w:rPr>
          <w:rtl/>
        </w:rPr>
        <w:t xml:space="preserve"> امور</w:t>
      </w:r>
      <w:r w:rsidR="00D248BC">
        <w:rPr>
          <w:rFonts w:hint="cs"/>
          <w:rtl/>
        </w:rPr>
        <w:t xml:space="preserve"> غیر ملکی</w:t>
      </w:r>
      <w:r w:rsidR="00B85904" w:rsidRPr="00B85904">
        <w:rPr>
          <w:rtl/>
        </w:rPr>
        <w:t xml:space="preserve"> مثل تذک</w:t>
      </w:r>
      <w:r w:rsidR="00B85904" w:rsidRPr="00B85904">
        <w:rPr>
          <w:rFonts w:hint="cs"/>
          <w:rtl/>
        </w:rPr>
        <w:t>ی</w:t>
      </w:r>
      <w:r w:rsidR="00B85904" w:rsidRPr="00B85904">
        <w:rPr>
          <w:rFonts w:hint="eastAsia"/>
          <w:rtl/>
        </w:rPr>
        <w:t>ه</w:t>
      </w:r>
      <w:r w:rsidR="00B85904" w:rsidRPr="00B85904">
        <w:rPr>
          <w:rFonts w:hint="cs"/>
          <w:rtl/>
        </w:rPr>
        <w:t xml:space="preserve"> </w:t>
      </w:r>
      <w:r w:rsidR="00386C11" w:rsidRPr="00A6366F">
        <w:rPr>
          <w:rFonts w:hint="cs"/>
          <w:rtl/>
        </w:rPr>
        <w:t>/</w:t>
      </w:r>
      <w:bookmarkStart w:id="1" w:name="BokSabj_d"/>
      <w:bookmarkEnd w:id="1"/>
      <w:r w:rsidR="00517200">
        <w:rPr>
          <w:rtl/>
        </w:rPr>
        <w:t xml:space="preserve">قاعده </w:t>
      </w:r>
      <w:r w:rsidR="00517200">
        <w:rPr>
          <w:rFonts w:hint="cs"/>
          <w:rtl/>
        </w:rPr>
        <w:t>ی</w:t>
      </w:r>
      <w:r w:rsidR="00517200">
        <w:rPr>
          <w:rFonts w:hint="eastAsia"/>
          <w:rtl/>
        </w:rPr>
        <w:t>د</w:t>
      </w:r>
      <w:r w:rsidR="00386C11" w:rsidRPr="00A6366F">
        <w:rPr>
          <w:rFonts w:hint="cs"/>
          <w:rtl/>
        </w:rPr>
        <w:t xml:space="preserve"> /</w:t>
      </w:r>
      <w:bookmarkStart w:id="2" w:name="Bokkolli"/>
      <w:bookmarkEnd w:id="2"/>
      <w:r w:rsidR="00517200">
        <w:rPr>
          <w:rtl/>
        </w:rPr>
        <w:t>تنب</w:t>
      </w:r>
      <w:r w:rsidR="00517200">
        <w:rPr>
          <w:rFonts w:hint="cs"/>
          <w:rtl/>
        </w:rPr>
        <w:t>ی</w:t>
      </w:r>
      <w:r w:rsidR="00517200">
        <w:rPr>
          <w:rFonts w:hint="eastAsia"/>
          <w:rtl/>
        </w:rPr>
        <w:t>هات</w:t>
      </w:r>
      <w:r w:rsidR="00517200">
        <w:rPr>
          <w:rtl/>
        </w:rPr>
        <w:t xml:space="preserve"> استصحاب، تعارض با سا</w:t>
      </w:r>
      <w:r w:rsidR="00517200">
        <w:rPr>
          <w:rFonts w:hint="cs"/>
          <w:rtl/>
        </w:rPr>
        <w:t>ی</w:t>
      </w:r>
      <w:r w:rsidR="00517200">
        <w:rPr>
          <w:rFonts w:hint="eastAsia"/>
          <w:rtl/>
        </w:rPr>
        <w:t>ر</w:t>
      </w:r>
      <w:r w:rsidR="00517200">
        <w:rPr>
          <w:rtl/>
        </w:rPr>
        <w:t xml:space="preserve"> اصول</w:t>
      </w:r>
      <w:r w:rsidR="001B6799" w:rsidRPr="00A6366F">
        <w:rPr>
          <w:rFonts w:hint="cs"/>
          <w:rtl/>
        </w:rPr>
        <w:t xml:space="preserve"> </w:t>
      </w:r>
    </w:p>
    <w:p w:rsidR="008F5B4D" w:rsidRPr="009C66D5" w:rsidRDefault="008F5B4D" w:rsidP="00D80376">
      <w:pPr>
        <w:jc w:val="both"/>
        <w:rPr>
          <w:rStyle w:val="af0"/>
          <w:b/>
          <w:bCs w:val="0"/>
          <w:rtl/>
        </w:rPr>
      </w:pPr>
      <w:r w:rsidRPr="009C66D5">
        <w:rPr>
          <w:rStyle w:val="af0"/>
          <w:rFonts w:hint="cs"/>
          <w:b/>
          <w:bCs w:val="0"/>
          <w:rtl/>
        </w:rPr>
        <w:t>خلاصه مباحث گذشته:</w:t>
      </w:r>
    </w:p>
    <w:p w:rsidR="003A6148" w:rsidRDefault="00F437BD" w:rsidP="00D80376">
      <w:pPr>
        <w:pBdr>
          <w:bottom w:val="double" w:sz="6" w:space="1" w:color="auto"/>
        </w:pBdr>
        <w:jc w:val="both"/>
        <w:rPr>
          <w:rtl/>
        </w:rPr>
      </w:pPr>
      <w:r>
        <w:rPr>
          <w:rFonts w:hint="cs"/>
          <w:rtl/>
        </w:rPr>
        <w:t>در جهت هفتم عرض شد که قاعده ید در منافع هم جاری است. اما جریان این قاعده در مورد حقّ اختصاص، بحث امروز ماست.</w:t>
      </w:r>
    </w:p>
    <w:p w:rsidR="00247D2F" w:rsidRPr="003A6148" w:rsidRDefault="00247D2F" w:rsidP="00D80376">
      <w:pPr>
        <w:pBdr>
          <w:bottom w:val="double" w:sz="6" w:space="1" w:color="auto"/>
        </w:pBdr>
        <w:jc w:val="both"/>
      </w:pPr>
    </w:p>
    <w:p w:rsidR="008F5B4D" w:rsidRDefault="008F5B4D" w:rsidP="00D80376">
      <w:pPr>
        <w:jc w:val="both"/>
      </w:pPr>
    </w:p>
    <w:p w:rsidR="00F437BD" w:rsidRDefault="00F437BD" w:rsidP="00D80376">
      <w:pPr>
        <w:pStyle w:val="1"/>
        <w:jc w:val="both"/>
        <w:rPr>
          <w:rtl/>
        </w:rPr>
      </w:pPr>
      <w:bookmarkStart w:id="3" w:name="_Toc1436195"/>
      <w:r>
        <w:rPr>
          <w:rFonts w:hint="cs"/>
          <w:rtl/>
        </w:rPr>
        <w:lastRenderedPageBreak/>
        <w:t>قسمت 2: جریان قاعده</w:t>
      </w:r>
      <w:r w:rsidR="00973BE9">
        <w:rPr>
          <w:rFonts w:hint="cs"/>
          <w:rtl/>
        </w:rPr>
        <w:t xml:space="preserve"> ید</w:t>
      </w:r>
      <w:r>
        <w:rPr>
          <w:rFonts w:hint="cs"/>
          <w:rtl/>
        </w:rPr>
        <w:t xml:space="preserve"> در مورد حق</w:t>
      </w:r>
      <w:bookmarkEnd w:id="3"/>
      <w:r>
        <w:rPr>
          <w:rFonts w:hint="cs"/>
          <w:rtl/>
        </w:rPr>
        <w:t xml:space="preserve"> </w:t>
      </w:r>
    </w:p>
    <w:p w:rsidR="00F437BD" w:rsidRDefault="00F437BD" w:rsidP="00D80376">
      <w:pPr>
        <w:pStyle w:val="20"/>
        <w:jc w:val="both"/>
        <w:rPr>
          <w:rtl/>
        </w:rPr>
      </w:pPr>
      <w:bookmarkStart w:id="4" w:name="_Toc1436196"/>
      <w:r>
        <w:rPr>
          <w:rFonts w:hint="cs"/>
          <w:rtl/>
        </w:rPr>
        <w:t>مثال ها</w:t>
      </w:r>
      <w:bookmarkEnd w:id="4"/>
    </w:p>
    <w:p w:rsidR="00F437BD" w:rsidRDefault="00F437BD" w:rsidP="00D80376">
      <w:pPr>
        <w:pStyle w:val="af4"/>
        <w:numPr>
          <w:ilvl w:val="0"/>
          <w:numId w:val="16"/>
        </w:numPr>
        <w:jc w:val="both"/>
      </w:pPr>
      <w:r>
        <w:rPr>
          <w:rFonts w:hint="cs"/>
          <w:rtl/>
        </w:rPr>
        <w:t>سرکه ای که تبدیل به شراب شده است</w:t>
      </w:r>
    </w:p>
    <w:p w:rsidR="00F437BD" w:rsidRDefault="00F437BD" w:rsidP="00D80376">
      <w:pPr>
        <w:pStyle w:val="af4"/>
        <w:numPr>
          <w:ilvl w:val="0"/>
          <w:numId w:val="16"/>
        </w:numPr>
        <w:jc w:val="both"/>
      </w:pPr>
      <w:r>
        <w:rPr>
          <w:rFonts w:hint="cs"/>
          <w:rtl/>
        </w:rPr>
        <w:t>ملکی که ذو الید مدعی وقف شدن آن برای او است</w:t>
      </w:r>
    </w:p>
    <w:p w:rsidR="00F437BD" w:rsidRDefault="009257A2" w:rsidP="00D80376">
      <w:pPr>
        <w:pStyle w:val="af4"/>
        <w:numPr>
          <w:ilvl w:val="0"/>
          <w:numId w:val="16"/>
        </w:numPr>
        <w:jc w:val="both"/>
      </w:pPr>
      <w:r>
        <w:rPr>
          <w:rFonts w:hint="cs"/>
          <w:rtl/>
        </w:rPr>
        <w:t>رودخانه ای که برای کسی است ولی مردم از آن برای مصارفشان استفاده می‌کنند و بر آن ید دارند</w:t>
      </w:r>
    </w:p>
    <w:p w:rsidR="009257A2" w:rsidRDefault="00DC3319" w:rsidP="00D80376">
      <w:pPr>
        <w:pStyle w:val="20"/>
        <w:jc w:val="both"/>
        <w:rPr>
          <w:rtl/>
        </w:rPr>
      </w:pPr>
      <w:bookmarkStart w:id="5" w:name="_Toc1436197"/>
      <w:r>
        <w:rPr>
          <w:rFonts w:hint="cs"/>
          <w:rtl/>
        </w:rPr>
        <w:t>دلائل</w:t>
      </w:r>
      <w:r w:rsidR="009257A2">
        <w:rPr>
          <w:rFonts w:hint="cs"/>
          <w:rtl/>
        </w:rPr>
        <w:t xml:space="preserve"> جریان</w:t>
      </w:r>
      <w:bookmarkEnd w:id="5"/>
    </w:p>
    <w:p w:rsidR="009257A2" w:rsidRDefault="00FA4A33" w:rsidP="00AA496B">
      <w:pPr>
        <w:pStyle w:val="af4"/>
        <w:numPr>
          <w:ilvl w:val="0"/>
          <w:numId w:val="17"/>
        </w:numPr>
        <w:jc w:val="both"/>
        <w:rPr>
          <w:rtl/>
        </w:rPr>
      </w:pPr>
      <w:r>
        <w:rPr>
          <w:rFonts w:hint="cs"/>
          <w:rtl/>
        </w:rPr>
        <w:t>دلیلی که مرحوم نراقی</w:t>
      </w:r>
      <w:r>
        <w:rPr>
          <w:rStyle w:val="ab"/>
          <w:rtl/>
        </w:rPr>
        <w:footnoteReference w:id="1"/>
      </w:r>
      <w:r>
        <w:rPr>
          <w:rFonts w:hint="cs"/>
          <w:rtl/>
        </w:rPr>
        <w:t xml:space="preserve"> بر جریان قاعده ید در این جا اقامه کرده،</w:t>
      </w:r>
      <w:r w:rsidR="009257A2">
        <w:rPr>
          <w:rFonts w:hint="cs"/>
          <w:rtl/>
        </w:rPr>
        <w:t xml:space="preserve"> اطلاق</w:t>
      </w:r>
      <w:r w:rsidR="00973BE9">
        <w:rPr>
          <w:rFonts w:hint="cs"/>
          <w:rtl/>
        </w:rPr>
        <w:t xml:space="preserve"> روایت یونس بن یعقوب</w:t>
      </w:r>
      <w:r w:rsidRPr="00DC1B06">
        <w:rPr>
          <w:vertAlign w:val="superscript"/>
          <w:rtl/>
        </w:rPr>
        <w:footnoteReference w:id="2"/>
      </w:r>
      <w:r>
        <w:rPr>
          <w:rFonts w:hint="cs"/>
          <w:rtl/>
        </w:rPr>
        <w:t xml:space="preserve"> است</w:t>
      </w:r>
      <w:r w:rsidR="00973BE9">
        <w:rPr>
          <w:rFonts w:hint="cs"/>
          <w:rtl/>
        </w:rPr>
        <w:t xml:space="preserve"> که درآن چنین آمده است:</w:t>
      </w:r>
      <w:r w:rsidR="009257A2">
        <w:rPr>
          <w:rFonts w:hint="cs"/>
          <w:rtl/>
        </w:rPr>
        <w:t xml:space="preserve"> </w:t>
      </w:r>
      <w:r w:rsidR="00973BE9">
        <w:rPr>
          <w:rFonts w:hint="cs"/>
          <w:rtl/>
        </w:rPr>
        <w:t>«</w:t>
      </w:r>
      <w:r w:rsidR="009257A2" w:rsidRPr="00FA4A33">
        <w:rPr>
          <w:rFonts w:hint="cs"/>
          <w:color w:val="008000"/>
          <w:rtl/>
        </w:rPr>
        <w:t>من استولی علی شیء منه فهو له</w:t>
      </w:r>
      <w:r w:rsidR="00973BE9">
        <w:rPr>
          <w:rFonts w:hint="cs"/>
          <w:rtl/>
        </w:rPr>
        <w:t>»</w:t>
      </w:r>
      <w:r>
        <w:rPr>
          <w:rFonts w:hint="cs"/>
          <w:rtl/>
        </w:rPr>
        <w:t xml:space="preserve">. بر اساس این روایت هر جایی که استیلاء صادق باشد، «هو له» </w:t>
      </w:r>
      <w:proofErr w:type="spellStart"/>
      <w:r w:rsidR="00AA496B">
        <w:rPr>
          <w:rFonts w:hint="cs"/>
          <w:rtl/>
        </w:rPr>
        <w:t>واختصاص</w:t>
      </w:r>
      <w:proofErr w:type="spellEnd"/>
      <w:r w:rsidR="00AA496B">
        <w:rPr>
          <w:rFonts w:hint="cs"/>
          <w:rtl/>
        </w:rPr>
        <w:t xml:space="preserve"> </w:t>
      </w:r>
      <w:r>
        <w:rPr>
          <w:rFonts w:hint="cs"/>
          <w:rtl/>
        </w:rPr>
        <w:t xml:space="preserve">بار می شود </w:t>
      </w:r>
      <w:r w:rsidR="00AA496B">
        <w:rPr>
          <w:rFonts w:hint="cs"/>
          <w:rtl/>
        </w:rPr>
        <w:t xml:space="preserve">،مقصود </w:t>
      </w:r>
      <w:proofErr w:type="spellStart"/>
      <w:r w:rsidR="00AA496B">
        <w:rPr>
          <w:rFonts w:hint="cs"/>
          <w:rtl/>
        </w:rPr>
        <w:t>ازاختصاص</w:t>
      </w:r>
      <w:proofErr w:type="spellEnd"/>
      <w:r w:rsidR="00AA496B">
        <w:rPr>
          <w:rFonts w:hint="cs"/>
          <w:rtl/>
        </w:rPr>
        <w:t xml:space="preserve"> هم اعم </w:t>
      </w:r>
      <w:proofErr w:type="spellStart"/>
      <w:r w:rsidR="00AA496B">
        <w:rPr>
          <w:rFonts w:hint="cs"/>
          <w:rtl/>
        </w:rPr>
        <w:t>ازاختصاص</w:t>
      </w:r>
      <w:proofErr w:type="spellEnd"/>
      <w:r w:rsidR="00AA496B">
        <w:rPr>
          <w:rFonts w:hint="cs"/>
          <w:rtl/>
        </w:rPr>
        <w:t xml:space="preserve"> ملکی </w:t>
      </w:r>
      <w:proofErr w:type="spellStart"/>
      <w:r w:rsidR="00AA496B">
        <w:rPr>
          <w:rFonts w:hint="cs"/>
          <w:rtl/>
        </w:rPr>
        <w:t>واختصاص</w:t>
      </w:r>
      <w:proofErr w:type="spellEnd"/>
      <w:r w:rsidR="00AA496B">
        <w:rPr>
          <w:rFonts w:hint="cs"/>
          <w:rtl/>
        </w:rPr>
        <w:t xml:space="preserve"> حقی است و</w:t>
      </w:r>
      <w:r>
        <w:rPr>
          <w:rFonts w:hint="cs"/>
          <w:rtl/>
        </w:rPr>
        <w:t xml:space="preserve"> از آن جایی که در ما نحن فیه</w:t>
      </w:r>
      <w:r w:rsidR="009257A2">
        <w:rPr>
          <w:rFonts w:hint="cs"/>
          <w:rtl/>
        </w:rPr>
        <w:t xml:space="preserve"> استیلاء هست لذا </w:t>
      </w:r>
      <w:r w:rsidR="009257A2" w:rsidRPr="00FA4A33">
        <w:rPr>
          <w:rFonts w:hint="cs"/>
          <w:u w:val="single"/>
          <w:rtl/>
        </w:rPr>
        <w:t>هو له</w:t>
      </w:r>
      <w:r w:rsidR="009257A2">
        <w:rPr>
          <w:rFonts w:hint="cs"/>
          <w:rtl/>
        </w:rPr>
        <w:t xml:space="preserve"> ( به معنای ثبوت حق اختصاص برای ذو الید) ثابت می شود. </w:t>
      </w:r>
    </w:p>
    <w:p w:rsidR="009257A2" w:rsidRDefault="009257A2" w:rsidP="00FA4A33">
      <w:pPr>
        <w:pStyle w:val="af4"/>
        <w:numPr>
          <w:ilvl w:val="0"/>
          <w:numId w:val="17"/>
        </w:numPr>
        <w:jc w:val="both"/>
        <w:rPr>
          <w:rtl/>
        </w:rPr>
      </w:pPr>
      <w:r>
        <w:rPr>
          <w:rFonts w:hint="cs"/>
          <w:rtl/>
        </w:rPr>
        <w:t>بر</w:t>
      </w:r>
      <w:r w:rsidR="00FA4A33">
        <w:rPr>
          <w:rFonts w:hint="cs"/>
          <w:rtl/>
        </w:rPr>
        <w:t xml:space="preserve"> اساس اطلاق بناء عقلاء نیز ید(</w:t>
      </w:r>
      <w:r>
        <w:rPr>
          <w:rFonts w:hint="cs"/>
          <w:rtl/>
        </w:rPr>
        <w:t>استیلاء</w:t>
      </w:r>
      <w:r w:rsidR="00FA4A33">
        <w:rPr>
          <w:rFonts w:hint="cs"/>
          <w:rtl/>
        </w:rPr>
        <w:t>)</w:t>
      </w:r>
      <w:r>
        <w:rPr>
          <w:rFonts w:hint="cs"/>
          <w:rtl/>
        </w:rPr>
        <w:t xml:space="preserve"> کاشف است، یا از ملکیت عین</w:t>
      </w:r>
      <w:r w:rsidR="00FA4A33">
        <w:rPr>
          <w:rFonts w:hint="cs"/>
          <w:rtl/>
        </w:rPr>
        <w:t>،</w:t>
      </w:r>
      <w:r>
        <w:rPr>
          <w:rFonts w:hint="cs"/>
          <w:rtl/>
        </w:rPr>
        <w:t xml:space="preserve"> یا</w:t>
      </w:r>
      <w:r w:rsidR="00FA4A33">
        <w:rPr>
          <w:rFonts w:hint="cs"/>
          <w:rtl/>
        </w:rPr>
        <w:t xml:space="preserve"> از</w:t>
      </w:r>
      <w:r>
        <w:rPr>
          <w:rFonts w:hint="cs"/>
          <w:rtl/>
        </w:rPr>
        <w:t xml:space="preserve"> ملکیت منفعت و یا</w:t>
      </w:r>
      <w:r w:rsidR="00FA4A33">
        <w:rPr>
          <w:rFonts w:hint="cs"/>
          <w:rtl/>
        </w:rPr>
        <w:t xml:space="preserve"> از</w:t>
      </w:r>
      <w:r>
        <w:rPr>
          <w:rFonts w:hint="cs"/>
          <w:rtl/>
        </w:rPr>
        <w:t xml:space="preserve"> حق اختصاص(به حسب مورد).</w:t>
      </w:r>
    </w:p>
    <w:p w:rsidR="009257A2" w:rsidRDefault="009257A2" w:rsidP="00FA4A33">
      <w:pPr>
        <w:pStyle w:val="af4"/>
        <w:numPr>
          <w:ilvl w:val="0"/>
          <w:numId w:val="17"/>
        </w:numPr>
        <w:jc w:val="both"/>
      </w:pPr>
      <w:r>
        <w:rPr>
          <w:rFonts w:hint="cs"/>
          <w:rtl/>
        </w:rPr>
        <w:t xml:space="preserve">هم چنین به بعضی از روایاتی که در مورد خاصّ وارد شده اند، می توان </w:t>
      </w:r>
      <w:r w:rsidR="00DC3319">
        <w:rPr>
          <w:rFonts w:hint="cs"/>
          <w:rtl/>
        </w:rPr>
        <w:t>استدلال کرد.</w:t>
      </w:r>
    </w:p>
    <w:p w:rsidR="00DC3319" w:rsidRDefault="00DC3319" w:rsidP="00DC3319">
      <w:pPr>
        <w:pStyle w:val="30"/>
        <w:rPr>
          <w:rtl/>
        </w:rPr>
      </w:pPr>
      <w:bookmarkStart w:id="6" w:name="_Toc1436198"/>
      <w:r>
        <w:rPr>
          <w:rFonts w:hint="cs"/>
          <w:rtl/>
        </w:rPr>
        <w:t>بررسی روایت خاص</w:t>
      </w:r>
      <w:bookmarkEnd w:id="6"/>
    </w:p>
    <w:p w:rsidR="009257A2" w:rsidRDefault="009257A2" w:rsidP="00FA4A33">
      <w:pPr>
        <w:jc w:val="both"/>
      </w:pPr>
      <w:r>
        <w:rPr>
          <w:rFonts w:hint="cs"/>
          <w:rtl/>
        </w:rPr>
        <w:t>روایت محمد بن حسین</w:t>
      </w:r>
      <w:r w:rsidR="00010E30">
        <w:rPr>
          <w:rStyle w:val="ab"/>
          <w:rtl/>
        </w:rPr>
        <w:footnoteReference w:id="3"/>
      </w:r>
      <w:r>
        <w:rPr>
          <w:rFonts w:hint="cs"/>
          <w:rtl/>
        </w:rPr>
        <w:t>(مرحوم تبریزی این روایت را هم به عنوان مثال و هم به عنوان دلیل بر حجیت ید در مورد حقوق ذکر کرده است)</w:t>
      </w:r>
    </w:p>
    <w:p w:rsidR="005D755D" w:rsidRPr="00DC3319" w:rsidRDefault="00D80376" w:rsidP="00D80376">
      <w:pPr>
        <w:jc w:val="both"/>
        <w:rPr>
          <w:color w:val="008000"/>
          <w:rtl/>
        </w:rPr>
      </w:pPr>
      <w:r w:rsidRPr="00DC3319">
        <w:rPr>
          <w:rFonts w:hint="cs"/>
          <w:color w:val="008000"/>
          <w:rtl/>
        </w:rPr>
        <w:t>«</w:t>
      </w:r>
      <w:r w:rsidR="005D755D" w:rsidRPr="00DC3319">
        <w:rPr>
          <w:color w:val="008000"/>
          <w:rtl/>
        </w:rPr>
        <w:t>مُحَمَّدُ بْنُ يَعْقُوبَ عَنْ مُحَمَّدِ بْنِ يَحْيَى عَنْ مُحَمَّدِ بْنِ الْحُسَيْنِ قَالَ: كَتَبْتُ إِلَى أَبِي مُحَمَّدٍ ع رَجُلٌ كَانَتْ لَهُ رَحًى عَلَى نَهَرِ قَرْيَةٍ وَ الْقَرْيَةُ لِرَجُلٍ فَأَرَادَ صَاحِبُ الْقَرْيَةِ أَنْ يَسُوقَ إِلَى قَرْيَتِه‏</w:t>
      </w:r>
      <w:r w:rsidR="005D755D" w:rsidRPr="00DC3319">
        <w:rPr>
          <w:color w:val="008000"/>
        </w:rPr>
        <w:t xml:space="preserve"> </w:t>
      </w:r>
      <w:r w:rsidR="005D755D" w:rsidRPr="00DC3319">
        <w:rPr>
          <w:color w:val="008000"/>
          <w:rtl/>
        </w:rPr>
        <w:t>الْمَاءَ فِي غَيْرِ هَذَا النَّهَرِ وَ يُعَطِّلَ هَذِهِ الرَّحَى أَ لَهُ ذَلِكَ أَمْ لَا فَوَقَّعَ ع يَتَّقِي اللَّهَ وَ يَعْمَلُ فِي ذَلِكَ بِالْمَعْرُوفِ (وَ لَا يَضُرُّ) أَخَاهُ الْمُؤْمِنَ.</w:t>
      </w:r>
      <w:r w:rsidRPr="00DC3319">
        <w:rPr>
          <w:rFonts w:hint="cs"/>
          <w:color w:val="008000"/>
          <w:rtl/>
        </w:rPr>
        <w:t>»</w:t>
      </w:r>
      <w:r>
        <w:rPr>
          <w:rStyle w:val="ab"/>
          <w:color w:val="008000"/>
          <w:rtl/>
        </w:rPr>
        <w:footnoteReference w:id="4"/>
      </w:r>
    </w:p>
    <w:p w:rsidR="00330275" w:rsidRDefault="00330275" w:rsidP="00DC3319">
      <w:pPr>
        <w:pStyle w:val="40"/>
      </w:pPr>
      <w:bookmarkStart w:id="7" w:name="_Toc1436199"/>
      <w:r>
        <w:rPr>
          <w:rFonts w:hint="cs"/>
          <w:rtl/>
        </w:rPr>
        <w:lastRenderedPageBreak/>
        <w:t>تقریب</w:t>
      </w:r>
      <w:bookmarkEnd w:id="7"/>
    </w:p>
    <w:p w:rsidR="005D755D" w:rsidRDefault="005D755D" w:rsidP="00AA496B">
      <w:pPr>
        <w:jc w:val="both"/>
        <w:rPr>
          <w:rtl/>
        </w:rPr>
      </w:pPr>
      <w:r>
        <w:rPr>
          <w:rFonts w:hint="cs"/>
          <w:rtl/>
        </w:rPr>
        <w:t>حضرت فرموده است که نباید صاحب آسیاب ضرر کند. امام ع در این جا از تغییر مسیر آب منع کرده است و در مقام تعلیل فرموده است که این موجب ضرر زدن صاحب قریه به صاحب آسیاب می شود. این تعلیل گواه این است که صاحب رحا حقی درباره نهر دارد که در نتیجه اگر مسیر نهر عوض ش</w:t>
      </w:r>
      <w:r w:rsidR="00D22996">
        <w:rPr>
          <w:rFonts w:hint="cs"/>
          <w:rtl/>
        </w:rPr>
        <w:t>ود تضییع حقّ او رخ می‌دهد</w:t>
      </w:r>
      <w:r w:rsidR="00DC3319">
        <w:rPr>
          <w:rFonts w:hint="cs"/>
          <w:rtl/>
        </w:rPr>
        <w:t>،</w:t>
      </w:r>
      <w:r w:rsidR="00615111">
        <w:rPr>
          <w:rFonts w:hint="cs"/>
          <w:rtl/>
        </w:rPr>
        <w:t xml:space="preserve"> اما اگر حقی در کار نباشد(بلکه صرفا تفضّل صاحب نهر</w:t>
      </w:r>
      <w:r w:rsidR="00D80376">
        <w:rPr>
          <w:rStyle w:val="ab"/>
          <w:rtl/>
        </w:rPr>
        <w:footnoteReference w:id="5"/>
      </w:r>
      <w:r w:rsidR="00615111">
        <w:rPr>
          <w:rFonts w:hint="cs"/>
          <w:rtl/>
        </w:rPr>
        <w:t xml:space="preserve"> باشد)، تغییر مسیر نهر موجب ضرر او </w:t>
      </w:r>
      <w:proofErr w:type="spellStart"/>
      <w:r w:rsidR="00615111">
        <w:rPr>
          <w:rFonts w:hint="cs"/>
          <w:rtl/>
        </w:rPr>
        <w:t>نمی‌شود</w:t>
      </w:r>
      <w:proofErr w:type="spellEnd"/>
      <w:r w:rsidR="00615111">
        <w:rPr>
          <w:rFonts w:hint="cs"/>
          <w:rtl/>
        </w:rPr>
        <w:t xml:space="preserve"> بلکه صرفا </w:t>
      </w:r>
      <w:r w:rsidR="00AA496B">
        <w:rPr>
          <w:rFonts w:hint="cs"/>
          <w:rtl/>
        </w:rPr>
        <w:t xml:space="preserve">جلوی </w:t>
      </w:r>
      <w:r w:rsidR="00DC3319">
        <w:rPr>
          <w:rFonts w:hint="cs"/>
          <w:rtl/>
        </w:rPr>
        <w:t>ن</w:t>
      </w:r>
      <w:r w:rsidR="00615111">
        <w:rPr>
          <w:rFonts w:hint="cs"/>
          <w:rtl/>
        </w:rPr>
        <w:t>فع او را  می</w:t>
      </w:r>
      <w:r w:rsidR="00AA496B">
        <w:rPr>
          <w:rFonts w:hint="cs"/>
          <w:rtl/>
        </w:rPr>
        <w:t xml:space="preserve"> </w:t>
      </w:r>
      <w:proofErr w:type="spellStart"/>
      <w:r w:rsidR="00AA496B">
        <w:rPr>
          <w:rFonts w:hint="cs"/>
          <w:rtl/>
        </w:rPr>
        <w:t>گ</w:t>
      </w:r>
      <w:r w:rsidR="00615111">
        <w:rPr>
          <w:rFonts w:hint="cs"/>
          <w:rtl/>
        </w:rPr>
        <w:t>برد</w:t>
      </w:r>
      <w:proofErr w:type="spellEnd"/>
      <w:r w:rsidR="00D22996">
        <w:rPr>
          <w:rFonts w:hint="cs"/>
          <w:rtl/>
        </w:rPr>
        <w:t>.</w:t>
      </w:r>
      <w:r>
        <w:rPr>
          <w:rFonts w:hint="cs"/>
          <w:rtl/>
        </w:rPr>
        <w:t xml:space="preserve"> </w:t>
      </w:r>
      <w:r w:rsidR="00D22996">
        <w:rPr>
          <w:rFonts w:hint="cs"/>
          <w:rtl/>
        </w:rPr>
        <w:t xml:space="preserve">از طرفی هم </w:t>
      </w:r>
      <w:r>
        <w:rPr>
          <w:rFonts w:hint="cs"/>
          <w:rtl/>
        </w:rPr>
        <w:t xml:space="preserve">چیزی غیر ید نمی تواند دلیل بر </w:t>
      </w:r>
      <w:r w:rsidR="00AE1964">
        <w:rPr>
          <w:rFonts w:hint="cs"/>
          <w:rtl/>
        </w:rPr>
        <w:t xml:space="preserve">وجود </w:t>
      </w:r>
      <w:r>
        <w:rPr>
          <w:rFonts w:hint="cs"/>
          <w:rtl/>
        </w:rPr>
        <w:t xml:space="preserve">حقّ باشد. </w:t>
      </w:r>
      <w:r w:rsidR="00DC3319">
        <w:rPr>
          <w:rFonts w:hint="cs"/>
          <w:rtl/>
        </w:rPr>
        <w:t>در نتیجه</w:t>
      </w:r>
      <w:r w:rsidR="00615111">
        <w:rPr>
          <w:rFonts w:hint="cs"/>
          <w:rtl/>
        </w:rPr>
        <w:t xml:space="preserve"> این روایت دال بر اماریت ید نسبت به حقّ است.</w:t>
      </w:r>
    </w:p>
    <w:p w:rsidR="005D755D" w:rsidRDefault="005D755D" w:rsidP="00AA496B">
      <w:pPr>
        <w:jc w:val="both"/>
        <w:rPr>
          <w:rtl/>
        </w:rPr>
      </w:pPr>
      <w:r>
        <w:rPr>
          <w:rFonts w:hint="cs"/>
          <w:rtl/>
        </w:rPr>
        <w:t>با این بیان، اشکال مرح</w:t>
      </w:r>
      <w:r w:rsidR="00DC3319">
        <w:rPr>
          <w:rFonts w:hint="cs"/>
          <w:rtl/>
        </w:rPr>
        <w:t>وم نراقی</w:t>
      </w:r>
      <w:r w:rsidR="00010E30">
        <w:rPr>
          <w:rFonts w:hint="cs"/>
          <w:rtl/>
        </w:rPr>
        <w:t xml:space="preserve"> نیز</w:t>
      </w:r>
      <w:r w:rsidR="00DC3319">
        <w:rPr>
          <w:rFonts w:hint="cs"/>
          <w:rtl/>
        </w:rPr>
        <w:t xml:space="preserve"> جواب داده می شود. ایشان(ذیل بحث جریان ید نسبت به منفعت) فرمود:</w:t>
      </w:r>
      <w:r w:rsidR="00DC3319">
        <w:rPr>
          <w:rStyle w:val="ab"/>
          <w:rtl/>
        </w:rPr>
        <w:footnoteReference w:id="6"/>
      </w:r>
      <w:r w:rsidR="00DC3319">
        <w:rPr>
          <w:rFonts w:hint="cs"/>
          <w:rtl/>
        </w:rPr>
        <w:t>«</w:t>
      </w:r>
      <w:r>
        <w:rPr>
          <w:rFonts w:hint="cs"/>
          <w:rtl/>
        </w:rPr>
        <w:t xml:space="preserve"> معلوم نیست وجه حکم در این روایت، </w:t>
      </w:r>
      <w:r w:rsidR="00615111">
        <w:rPr>
          <w:rFonts w:hint="cs"/>
          <w:rtl/>
        </w:rPr>
        <w:t xml:space="preserve">وجود </w:t>
      </w:r>
      <w:r>
        <w:rPr>
          <w:rFonts w:hint="cs"/>
          <w:rtl/>
        </w:rPr>
        <w:t>ید باشد ب</w:t>
      </w:r>
      <w:r w:rsidR="00615111">
        <w:rPr>
          <w:rFonts w:hint="cs"/>
          <w:rtl/>
        </w:rPr>
        <w:t>لکه ممکن است</w:t>
      </w:r>
      <w:r w:rsidR="00DC3319">
        <w:rPr>
          <w:rFonts w:hint="cs"/>
          <w:rtl/>
        </w:rPr>
        <w:t xml:space="preserve"> وجه آن،</w:t>
      </w:r>
      <w:r w:rsidR="00615111">
        <w:rPr>
          <w:rFonts w:hint="cs"/>
          <w:rtl/>
        </w:rPr>
        <w:t xml:space="preserve"> وجود ضرر </w:t>
      </w:r>
      <w:r w:rsidR="00DC3319">
        <w:rPr>
          <w:rFonts w:hint="cs"/>
          <w:rtl/>
        </w:rPr>
        <w:t>باشد». لکن با بیان فوق معلوم شد</w:t>
      </w:r>
      <w:r w:rsidR="00615111">
        <w:rPr>
          <w:rFonts w:hint="cs"/>
          <w:rtl/>
        </w:rPr>
        <w:t xml:space="preserve"> که وجه ضرر، وجود حق است و </w:t>
      </w:r>
      <w:proofErr w:type="spellStart"/>
      <w:r w:rsidR="00AA496B">
        <w:rPr>
          <w:rFonts w:hint="cs"/>
          <w:rtl/>
        </w:rPr>
        <w:t>دليلی</w:t>
      </w:r>
      <w:proofErr w:type="spellEnd"/>
      <w:r w:rsidR="00AA496B">
        <w:rPr>
          <w:rFonts w:hint="cs"/>
          <w:rtl/>
        </w:rPr>
        <w:t xml:space="preserve"> </w:t>
      </w:r>
      <w:proofErr w:type="spellStart"/>
      <w:r w:rsidR="00AA496B">
        <w:rPr>
          <w:rFonts w:hint="cs"/>
          <w:rtl/>
        </w:rPr>
        <w:t>بر</w:t>
      </w:r>
      <w:r w:rsidR="00615111">
        <w:rPr>
          <w:rFonts w:hint="cs"/>
          <w:rtl/>
        </w:rPr>
        <w:t>حق</w:t>
      </w:r>
      <w:proofErr w:type="spellEnd"/>
      <w:r w:rsidR="00615111">
        <w:rPr>
          <w:rFonts w:hint="cs"/>
          <w:rtl/>
        </w:rPr>
        <w:t xml:space="preserve"> غیر از ید در این جا </w:t>
      </w:r>
      <w:r w:rsidR="00DC3319">
        <w:rPr>
          <w:rFonts w:hint="cs"/>
          <w:rtl/>
        </w:rPr>
        <w:t>وجود ندارد</w:t>
      </w:r>
      <w:r w:rsidR="00615111">
        <w:rPr>
          <w:rFonts w:hint="cs"/>
          <w:rtl/>
        </w:rPr>
        <w:t>.</w:t>
      </w:r>
    </w:p>
    <w:p w:rsidR="00330275" w:rsidRDefault="00A21CC6" w:rsidP="00A21CC6">
      <w:pPr>
        <w:pStyle w:val="50"/>
        <w:rPr>
          <w:rtl/>
        </w:rPr>
      </w:pPr>
      <w:bookmarkStart w:id="8" w:name="_Toc1436200"/>
      <w:r>
        <w:rPr>
          <w:rFonts w:hint="cs"/>
          <w:rtl/>
        </w:rPr>
        <w:t>مناقشه</w:t>
      </w:r>
      <w:bookmarkEnd w:id="8"/>
    </w:p>
    <w:p w:rsidR="00086DC5" w:rsidRDefault="00010E30" w:rsidP="0032701E">
      <w:pPr>
        <w:jc w:val="both"/>
        <w:rPr>
          <w:rtl/>
        </w:rPr>
      </w:pPr>
      <w:r>
        <w:rPr>
          <w:rFonts w:hint="cs"/>
          <w:rtl/>
        </w:rPr>
        <w:t>بحث ما در جایی است که شک در وجود حقّ باشد، لکن این روایت ناظر به فرضی است حق داشتن شخص ذو الید مسلّم است.</w:t>
      </w:r>
      <w:r w:rsidR="00086DC5">
        <w:rPr>
          <w:rFonts w:hint="cs"/>
          <w:rtl/>
        </w:rPr>
        <w:t xml:space="preserve"> بله این از روایت استفاده می شود که حق انتفاع غیر مالک هم باید مراعات شود </w:t>
      </w:r>
      <w:r w:rsidR="0032701E">
        <w:rPr>
          <w:rFonts w:hint="cs"/>
          <w:rtl/>
        </w:rPr>
        <w:t xml:space="preserve">و </w:t>
      </w:r>
      <w:r w:rsidR="00086DC5">
        <w:rPr>
          <w:rFonts w:hint="cs"/>
          <w:rtl/>
        </w:rPr>
        <w:t xml:space="preserve">استفاده از مال منحصر به </w:t>
      </w:r>
      <w:r w:rsidR="00330275">
        <w:rPr>
          <w:rFonts w:hint="cs"/>
          <w:rtl/>
        </w:rPr>
        <w:t>مالک عین</w:t>
      </w:r>
      <w:r w:rsidR="00086DC5">
        <w:rPr>
          <w:rFonts w:hint="cs"/>
          <w:rtl/>
        </w:rPr>
        <w:t xml:space="preserve"> نیست، لکن از آن استفاده نمی شود که در فرض شک </w:t>
      </w:r>
      <w:r w:rsidR="0032701E">
        <w:rPr>
          <w:rFonts w:hint="cs"/>
          <w:rtl/>
        </w:rPr>
        <w:t>در وجود حق انتفاع برای دیگران(که ذو الید هستند)، حقّ برای آن ها ثابت است.</w:t>
      </w:r>
    </w:p>
    <w:p w:rsidR="00086DC5" w:rsidRDefault="00A21CC6" w:rsidP="00A21CC6">
      <w:pPr>
        <w:pStyle w:val="6"/>
        <w:rPr>
          <w:rtl/>
        </w:rPr>
      </w:pPr>
      <w:bookmarkStart w:id="9" w:name="_Toc1436201"/>
      <w:r>
        <w:rPr>
          <w:rFonts w:hint="cs"/>
          <w:rtl/>
        </w:rPr>
        <w:t>تخلّص</w:t>
      </w:r>
      <w:bookmarkEnd w:id="9"/>
    </w:p>
    <w:p w:rsidR="00086DC5" w:rsidRDefault="00330275" w:rsidP="0043426E">
      <w:pPr>
        <w:jc w:val="both"/>
        <w:rPr>
          <w:rtl/>
        </w:rPr>
      </w:pPr>
      <w:r>
        <w:rPr>
          <w:rFonts w:hint="cs"/>
          <w:rtl/>
        </w:rPr>
        <w:t>این روایت صورت شک در وجود حق را در بر می‌گیرد، زیرا چیزی که در این روایت فرض شده است این است که صاحب آسیاب از آب نهر استفاده می کند و این هم شامل استفاده حقّی می شود و هم شامل استفاده تفضّلی.</w:t>
      </w:r>
      <w:r w:rsidR="00A75C19">
        <w:rPr>
          <w:rFonts w:hint="cs"/>
          <w:rtl/>
        </w:rPr>
        <w:t xml:space="preserve"> حضرت هم استفصال نفرمود بین این که آسیابان حق داشته است یا این که صرفا به تفضّل صاحب نهر به او آب می </w:t>
      </w:r>
      <w:proofErr w:type="spellStart"/>
      <w:r w:rsidR="00A75C19">
        <w:rPr>
          <w:rFonts w:hint="cs"/>
          <w:rtl/>
        </w:rPr>
        <w:t>رسیده،</w:t>
      </w:r>
      <w:r w:rsidR="00AA496B">
        <w:rPr>
          <w:rFonts w:hint="cs"/>
          <w:rtl/>
        </w:rPr>
        <w:t>بلکه</w:t>
      </w:r>
      <w:proofErr w:type="spellEnd"/>
      <w:r w:rsidR="00AA496B">
        <w:rPr>
          <w:rFonts w:hint="cs"/>
          <w:rtl/>
        </w:rPr>
        <w:t xml:space="preserve"> به صورت </w:t>
      </w:r>
      <w:proofErr w:type="spellStart"/>
      <w:r w:rsidR="00AA496B">
        <w:rPr>
          <w:rFonts w:hint="cs"/>
          <w:rtl/>
        </w:rPr>
        <w:t>مطلق</w:t>
      </w:r>
      <w:proofErr w:type="spellEnd"/>
      <w:r w:rsidR="00AA496B">
        <w:rPr>
          <w:rFonts w:hint="cs"/>
          <w:rtl/>
        </w:rPr>
        <w:t xml:space="preserve"> </w:t>
      </w:r>
      <w:r w:rsidR="0043426E" w:rsidRPr="0043426E">
        <w:rPr>
          <w:rFonts w:hint="cs"/>
          <w:rtl/>
        </w:rPr>
        <w:t xml:space="preserve">_که شامل فرض تنازع هم می </w:t>
      </w:r>
      <w:proofErr w:type="spellStart"/>
      <w:r w:rsidR="0043426E" w:rsidRPr="0043426E">
        <w:rPr>
          <w:rFonts w:hint="cs"/>
          <w:rtl/>
        </w:rPr>
        <w:t>شود_</w:t>
      </w:r>
      <w:r w:rsidR="00AA496B" w:rsidRPr="0043426E">
        <w:rPr>
          <w:rFonts w:hint="cs"/>
          <w:rtl/>
        </w:rPr>
        <w:t>ح</w:t>
      </w:r>
      <w:r w:rsidR="00AA496B">
        <w:rPr>
          <w:rFonts w:hint="cs"/>
          <w:rtl/>
        </w:rPr>
        <w:t>کم</w:t>
      </w:r>
      <w:proofErr w:type="spellEnd"/>
      <w:r w:rsidR="00AA496B">
        <w:rPr>
          <w:rFonts w:hint="cs"/>
          <w:rtl/>
        </w:rPr>
        <w:t xml:space="preserve"> کرده </w:t>
      </w:r>
      <w:proofErr w:type="spellStart"/>
      <w:r w:rsidR="00AA496B">
        <w:rPr>
          <w:rFonts w:hint="cs"/>
          <w:rtl/>
        </w:rPr>
        <w:t>اند</w:t>
      </w:r>
      <w:proofErr w:type="spellEnd"/>
      <w:r w:rsidR="00AA496B">
        <w:rPr>
          <w:rFonts w:hint="cs"/>
          <w:rtl/>
        </w:rPr>
        <w:t xml:space="preserve"> که </w:t>
      </w:r>
      <w:proofErr w:type="spellStart"/>
      <w:r w:rsidR="00AA496B">
        <w:rPr>
          <w:rFonts w:hint="cs"/>
          <w:rtl/>
        </w:rPr>
        <w:t>بايد</w:t>
      </w:r>
      <w:proofErr w:type="spellEnd"/>
      <w:r w:rsidR="00AA496B">
        <w:rPr>
          <w:rFonts w:hint="cs"/>
          <w:rtl/>
        </w:rPr>
        <w:t xml:space="preserve"> آن حق مراعات شود </w:t>
      </w:r>
      <w:proofErr w:type="spellStart"/>
      <w:r w:rsidR="00AA496B">
        <w:rPr>
          <w:rFonts w:hint="cs"/>
          <w:rtl/>
        </w:rPr>
        <w:t>وتضييع</w:t>
      </w:r>
      <w:proofErr w:type="spellEnd"/>
      <w:r w:rsidR="00AA496B">
        <w:rPr>
          <w:rFonts w:hint="cs"/>
          <w:rtl/>
        </w:rPr>
        <w:t xml:space="preserve"> نگردد</w:t>
      </w:r>
      <w:r>
        <w:rPr>
          <w:rFonts w:hint="cs"/>
          <w:rtl/>
        </w:rPr>
        <w:t xml:space="preserve"> </w:t>
      </w:r>
      <w:proofErr w:type="spellStart"/>
      <w:r w:rsidR="0043426E">
        <w:rPr>
          <w:rFonts w:hint="cs"/>
          <w:rtl/>
        </w:rPr>
        <w:t>واين</w:t>
      </w:r>
      <w:proofErr w:type="spellEnd"/>
      <w:r w:rsidR="0043426E">
        <w:rPr>
          <w:rFonts w:hint="cs"/>
          <w:rtl/>
        </w:rPr>
        <w:t xml:space="preserve"> دلالت می کند که </w:t>
      </w:r>
      <w:proofErr w:type="spellStart"/>
      <w:r w:rsidR="0043426E">
        <w:rPr>
          <w:rFonts w:hint="cs"/>
          <w:rtl/>
        </w:rPr>
        <w:t>بمجرد</w:t>
      </w:r>
      <w:proofErr w:type="spellEnd"/>
      <w:r w:rsidR="0043426E">
        <w:rPr>
          <w:rFonts w:hint="cs"/>
          <w:rtl/>
        </w:rPr>
        <w:t xml:space="preserve"> وجود </w:t>
      </w:r>
      <w:proofErr w:type="spellStart"/>
      <w:r w:rsidR="0043426E">
        <w:rPr>
          <w:rFonts w:hint="cs"/>
          <w:rtl/>
        </w:rPr>
        <w:t>يد</w:t>
      </w:r>
      <w:proofErr w:type="spellEnd"/>
      <w:r w:rsidR="0043426E">
        <w:rPr>
          <w:rFonts w:hint="cs"/>
          <w:rtl/>
        </w:rPr>
        <w:t xml:space="preserve"> </w:t>
      </w:r>
      <w:proofErr w:type="spellStart"/>
      <w:r w:rsidR="0043426E">
        <w:rPr>
          <w:rFonts w:hint="cs"/>
          <w:rtl/>
        </w:rPr>
        <w:t>بايد</w:t>
      </w:r>
      <w:proofErr w:type="spellEnd"/>
      <w:r w:rsidR="0043426E">
        <w:rPr>
          <w:rFonts w:hint="cs"/>
          <w:rtl/>
        </w:rPr>
        <w:t xml:space="preserve"> </w:t>
      </w:r>
      <w:proofErr w:type="spellStart"/>
      <w:r w:rsidR="0043426E">
        <w:rPr>
          <w:rFonts w:hint="cs"/>
          <w:rtl/>
        </w:rPr>
        <w:t>اين</w:t>
      </w:r>
      <w:proofErr w:type="spellEnd"/>
      <w:r w:rsidR="0043426E">
        <w:rPr>
          <w:rFonts w:hint="cs"/>
          <w:rtl/>
        </w:rPr>
        <w:t xml:space="preserve"> حق </w:t>
      </w:r>
      <w:proofErr w:type="spellStart"/>
      <w:r w:rsidR="0043426E">
        <w:rPr>
          <w:rFonts w:hint="cs"/>
          <w:rtl/>
        </w:rPr>
        <w:t>رعايت</w:t>
      </w:r>
      <w:proofErr w:type="spellEnd"/>
      <w:r w:rsidR="0043426E">
        <w:rPr>
          <w:rFonts w:hint="cs"/>
          <w:rtl/>
        </w:rPr>
        <w:t xml:space="preserve"> شود </w:t>
      </w:r>
      <w:proofErr w:type="spellStart"/>
      <w:r w:rsidR="0043426E">
        <w:rPr>
          <w:rFonts w:hint="cs"/>
          <w:rtl/>
        </w:rPr>
        <w:t>ولزوم</w:t>
      </w:r>
      <w:proofErr w:type="spellEnd"/>
      <w:r w:rsidR="0043426E">
        <w:rPr>
          <w:rFonts w:hint="cs"/>
          <w:rtl/>
        </w:rPr>
        <w:t xml:space="preserve"> </w:t>
      </w:r>
      <w:proofErr w:type="spellStart"/>
      <w:r w:rsidR="0043426E">
        <w:rPr>
          <w:rFonts w:hint="cs"/>
          <w:rtl/>
        </w:rPr>
        <w:t>رعايت</w:t>
      </w:r>
      <w:proofErr w:type="spellEnd"/>
      <w:r w:rsidR="0043426E">
        <w:rPr>
          <w:rFonts w:hint="cs"/>
          <w:rtl/>
        </w:rPr>
        <w:t xml:space="preserve"> حق </w:t>
      </w:r>
      <w:proofErr w:type="spellStart"/>
      <w:r w:rsidR="0043426E">
        <w:rPr>
          <w:rFonts w:hint="cs"/>
          <w:rtl/>
        </w:rPr>
        <w:t>بمجرد</w:t>
      </w:r>
      <w:proofErr w:type="spellEnd"/>
      <w:r w:rsidR="0043426E">
        <w:rPr>
          <w:rFonts w:hint="cs"/>
          <w:rtl/>
        </w:rPr>
        <w:t xml:space="preserve"> وجود </w:t>
      </w:r>
      <w:proofErr w:type="spellStart"/>
      <w:r w:rsidR="0043426E">
        <w:rPr>
          <w:rFonts w:hint="cs"/>
          <w:rtl/>
        </w:rPr>
        <w:t>يد</w:t>
      </w:r>
      <w:proofErr w:type="spellEnd"/>
      <w:r w:rsidR="0043426E">
        <w:rPr>
          <w:rFonts w:hint="cs"/>
          <w:rtl/>
        </w:rPr>
        <w:t xml:space="preserve"> مستلزم </w:t>
      </w:r>
      <w:proofErr w:type="spellStart"/>
      <w:r w:rsidR="0043426E">
        <w:rPr>
          <w:rFonts w:hint="cs"/>
          <w:rtl/>
        </w:rPr>
        <w:t>اين</w:t>
      </w:r>
      <w:proofErr w:type="spellEnd"/>
      <w:r w:rsidR="0043426E">
        <w:rPr>
          <w:rFonts w:hint="cs"/>
          <w:rtl/>
        </w:rPr>
        <w:t xml:space="preserve"> است که </w:t>
      </w:r>
      <w:proofErr w:type="spellStart"/>
      <w:r w:rsidR="0043426E">
        <w:rPr>
          <w:rFonts w:hint="cs"/>
          <w:rtl/>
        </w:rPr>
        <w:t>يد</w:t>
      </w:r>
      <w:proofErr w:type="spellEnd"/>
      <w:r w:rsidR="0043426E">
        <w:rPr>
          <w:rFonts w:hint="cs"/>
          <w:rtl/>
        </w:rPr>
        <w:t xml:space="preserve"> کاشف از </w:t>
      </w:r>
      <w:proofErr w:type="spellStart"/>
      <w:r w:rsidR="0043426E">
        <w:rPr>
          <w:rFonts w:hint="cs"/>
          <w:rtl/>
        </w:rPr>
        <w:t>ذوحق</w:t>
      </w:r>
      <w:proofErr w:type="spellEnd"/>
      <w:r w:rsidR="0043426E">
        <w:rPr>
          <w:rFonts w:hint="cs"/>
          <w:rtl/>
        </w:rPr>
        <w:t xml:space="preserve"> بودن </w:t>
      </w:r>
      <w:proofErr w:type="spellStart"/>
      <w:r w:rsidR="0043426E">
        <w:rPr>
          <w:rFonts w:hint="cs"/>
          <w:rtl/>
        </w:rPr>
        <w:t>ذواليد</w:t>
      </w:r>
      <w:proofErr w:type="spellEnd"/>
      <w:r w:rsidR="0043426E">
        <w:rPr>
          <w:rFonts w:hint="cs"/>
          <w:rtl/>
        </w:rPr>
        <w:t xml:space="preserve"> است </w:t>
      </w:r>
      <w:r w:rsidR="0032701E">
        <w:rPr>
          <w:rFonts w:hint="cs"/>
          <w:rtl/>
        </w:rPr>
        <w:t>.</w:t>
      </w:r>
    </w:p>
    <w:p w:rsidR="004F7CD3" w:rsidRDefault="000B5D00" w:rsidP="000B5D00">
      <w:pPr>
        <w:pStyle w:val="1"/>
        <w:jc w:val="both"/>
        <w:rPr>
          <w:rtl/>
        </w:rPr>
      </w:pPr>
      <w:bookmarkStart w:id="10" w:name="_Toc1436202"/>
      <w:r>
        <w:rPr>
          <w:rFonts w:hint="cs"/>
          <w:rtl/>
        </w:rPr>
        <w:lastRenderedPageBreak/>
        <w:t>جهت هشتم: بررسی اماریت ید بر تذکیه و طهارت</w:t>
      </w:r>
      <w:bookmarkEnd w:id="10"/>
    </w:p>
    <w:p w:rsidR="004F7CD3" w:rsidRDefault="004F7CD3" w:rsidP="000B5D00">
      <w:pPr>
        <w:jc w:val="both"/>
        <w:rPr>
          <w:rtl/>
        </w:rPr>
      </w:pPr>
      <w:r>
        <w:rPr>
          <w:rFonts w:hint="cs"/>
          <w:rtl/>
        </w:rPr>
        <w:t>مثلا حیوانی</w:t>
      </w:r>
      <w:r w:rsidR="000B5D00">
        <w:rPr>
          <w:rFonts w:hint="cs"/>
          <w:rtl/>
        </w:rPr>
        <w:t xml:space="preserve"> ذبح شده را در دست شخصی</w:t>
      </w:r>
      <w:r>
        <w:rPr>
          <w:rFonts w:hint="cs"/>
          <w:rtl/>
        </w:rPr>
        <w:t xml:space="preserve"> دیدیم. آیا</w:t>
      </w:r>
      <w:r w:rsidR="000B5D00">
        <w:rPr>
          <w:rFonts w:hint="cs"/>
          <w:rtl/>
        </w:rPr>
        <w:t xml:space="preserve"> ید مسلم اماره تذکیه است یا خیر؟</w:t>
      </w:r>
      <w:r>
        <w:rPr>
          <w:rFonts w:hint="cs"/>
          <w:rtl/>
        </w:rPr>
        <w:t xml:space="preserve"> یا</w:t>
      </w:r>
      <w:r w:rsidR="000B5D00">
        <w:rPr>
          <w:rFonts w:hint="cs"/>
          <w:rtl/>
        </w:rPr>
        <w:t xml:space="preserve"> مثلا</w:t>
      </w:r>
      <w:r>
        <w:rPr>
          <w:rFonts w:hint="cs"/>
          <w:rtl/>
        </w:rPr>
        <w:t xml:space="preserve"> کالایی را در دست فروشنده دیدیم که با آن معامله شیء طاهر می کند</w:t>
      </w:r>
      <w:r w:rsidR="000B5D00">
        <w:rPr>
          <w:rFonts w:hint="cs"/>
          <w:rtl/>
        </w:rPr>
        <w:t>،</w:t>
      </w:r>
      <w:r>
        <w:rPr>
          <w:rFonts w:hint="cs"/>
          <w:rtl/>
        </w:rPr>
        <w:t xml:space="preserve"> آیا ید</w:t>
      </w:r>
      <w:r w:rsidR="00D840E3">
        <w:rPr>
          <w:rFonts w:hint="cs"/>
          <w:rtl/>
        </w:rPr>
        <w:t xml:space="preserve"> او</w:t>
      </w:r>
      <w:r>
        <w:rPr>
          <w:rFonts w:hint="cs"/>
          <w:rtl/>
        </w:rPr>
        <w:t xml:space="preserve"> دلالت بر طهارت آن </w:t>
      </w:r>
      <w:r w:rsidR="00D840E3">
        <w:rPr>
          <w:rFonts w:hint="cs"/>
          <w:rtl/>
        </w:rPr>
        <w:t>دارد</w:t>
      </w:r>
      <w:r>
        <w:rPr>
          <w:rFonts w:hint="cs"/>
          <w:rtl/>
        </w:rPr>
        <w:t>؟</w:t>
      </w:r>
    </w:p>
    <w:p w:rsidR="00D840E3" w:rsidRDefault="000B5D00" w:rsidP="00D840E3">
      <w:pPr>
        <w:pStyle w:val="20"/>
        <w:rPr>
          <w:rtl/>
        </w:rPr>
      </w:pPr>
      <w:bookmarkStart w:id="11" w:name="_Toc1436203"/>
      <w:r>
        <w:rPr>
          <w:rFonts w:hint="cs"/>
          <w:rtl/>
        </w:rPr>
        <w:t xml:space="preserve">تقریر </w:t>
      </w:r>
      <w:r w:rsidR="00D840E3">
        <w:rPr>
          <w:rFonts w:hint="cs"/>
          <w:rtl/>
        </w:rPr>
        <w:t>محل بحث</w:t>
      </w:r>
      <w:bookmarkEnd w:id="11"/>
    </w:p>
    <w:p w:rsidR="00950B0D" w:rsidRDefault="000B5D00" w:rsidP="000B5D00">
      <w:pPr>
        <w:jc w:val="both"/>
        <w:rPr>
          <w:rtl/>
        </w:rPr>
      </w:pPr>
      <w:r>
        <w:rPr>
          <w:rFonts w:hint="cs"/>
          <w:rtl/>
        </w:rPr>
        <w:t xml:space="preserve">محل بحث جایی است که اماره دیگری غیر از ید(مثل سوق مسلمین و غیره) وجود ندارد. </w:t>
      </w:r>
    </w:p>
    <w:p w:rsidR="00D840E3" w:rsidRDefault="00D840E3" w:rsidP="00EF4708">
      <w:pPr>
        <w:pStyle w:val="20"/>
        <w:rPr>
          <w:rtl/>
        </w:rPr>
      </w:pPr>
      <w:bookmarkStart w:id="12" w:name="_Toc1436204"/>
      <w:r>
        <w:rPr>
          <w:rFonts w:hint="cs"/>
          <w:rtl/>
        </w:rPr>
        <w:t xml:space="preserve">دلیل </w:t>
      </w:r>
      <w:r w:rsidR="00EF4708">
        <w:rPr>
          <w:rFonts w:hint="cs"/>
          <w:rtl/>
        </w:rPr>
        <w:t>اماریت</w:t>
      </w:r>
      <w:bookmarkEnd w:id="12"/>
    </w:p>
    <w:p w:rsidR="00EF4708" w:rsidRDefault="00950B0D" w:rsidP="00EF4708">
      <w:pPr>
        <w:pStyle w:val="30"/>
        <w:rPr>
          <w:rtl/>
        </w:rPr>
      </w:pPr>
      <w:bookmarkStart w:id="13" w:name="_Toc1436205"/>
      <w:r>
        <w:rPr>
          <w:rFonts w:hint="cs"/>
          <w:rtl/>
        </w:rPr>
        <w:t>سیره</w:t>
      </w:r>
      <w:bookmarkEnd w:id="13"/>
      <w:r>
        <w:rPr>
          <w:rFonts w:hint="cs"/>
          <w:rtl/>
        </w:rPr>
        <w:t xml:space="preserve"> </w:t>
      </w:r>
    </w:p>
    <w:p w:rsidR="00595F29" w:rsidRDefault="00EF4708" w:rsidP="00595F29">
      <w:pPr>
        <w:jc w:val="both"/>
        <w:rPr>
          <w:rtl/>
        </w:rPr>
      </w:pPr>
      <w:r>
        <w:rPr>
          <w:rFonts w:hint="cs"/>
          <w:rtl/>
        </w:rPr>
        <w:t>نوعا در این جا به سیره تمسّک کرده اند. البته</w:t>
      </w:r>
      <w:r w:rsidR="00950B0D">
        <w:rPr>
          <w:rFonts w:hint="cs"/>
          <w:rtl/>
        </w:rPr>
        <w:t xml:space="preserve"> فقط سیره متشرعه در این جا قائم است</w:t>
      </w:r>
      <w:r w:rsidR="00595F29">
        <w:rPr>
          <w:rFonts w:hint="cs"/>
          <w:rtl/>
        </w:rPr>
        <w:t>، زیرا تذکیه و طهارتی که مد نظر است دارای شروطی است که فقط نزد متشرّعه معتبر است</w:t>
      </w:r>
      <w:r w:rsidR="00950B0D">
        <w:rPr>
          <w:rFonts w:hint="cs"/>
          <w:rtl/>
        </w:rPr>
        <w:t xml:space="preserve">. </w:t>
      </w:r>
    </w:p>
    <w:p w:rsidR="00595F29" w:rsidRDefault="00595F29" w:rsidP="00595F29">
      <w:pPr>
        <w:pStyle w:val="30"/>
        <w:rPr>
          <w:rtl/>
        </w:rPr>
      </w:pPr>
      <w:bookmarkStart w:id="14" w:name="_Toc1436206"/>
      <w:r>
        <w:rPr>
          <w:rFonts w:hint="cs"/>
          <w:rtl/>
        </w:rPr>
        <w:t>روایات</w:t>
      </w:r>
      <w:bookmarkEnd w:id="14"/>
    </w:p>
    <w:p w:rsidR="00D840E3" w:rsidRDefault="00595F29" w:rsidP="00595F29">
      <w:pPr>
        <w:jc w:val="both"/>
        <w:rPr>
          <w:rtl/>
        </w:rPr>
      </w:pPr>
      <w:r>
        <w:rPr>
          <w:rFonts w:hint="cs"/>
          <w:rtl/>
        </w:rPr>
        <w:t>عمده این روایات</w:t>
      </w:r>
      <w:r w:rsidR="006C64FB">
        <w:rPr>
          <w:rFonts w:hint="cs"/>
          <w:rtl/>
        </w:rPr>
        <w:t xml:space="preserve"> در باب 50 ابواب نجاسات وارد شده است. در آن</w:t>
      </w:r>
      <w:r w:rsidR="00D840E3">
        <w:rPr>
          <w:rFonts w:hint="cs"/>
          <w:rtl/>
        </w:rPr>
        <w:t xml:space="preserve"> ها</w:t>
      </w:r>
      <w:r w:rsidR="006C64FB">
        <w:rPr>
          <w:rFonts w:hint="cs"/>
          <w:rtl/>
        </w:rPr>
        <w:t xml:space="preserve"> آمده است که اگر از بازار مسلمین چیزی را خریداری می کنید بناء بر مذکی بودن آن بگذارید. </w:t>
      </w:r>
    </w:p>
    <w:p w:rsidR="004A03D1" w:rsidRDefault="004A03D1" w:rsidP="004A03D1">
      <w:pPr>
        <w:pStyle w:val="40"/>
        <w:rPr>
          <w:rtl/>
        </w:rPr>
      </w:pPr>
      <w:bookmarkStart w:id="15" w:name="_Toc1436207"/>
      <w:r>
        <w:rPr>
          <w:rFonts w:hint="cs"/>
          <w:rtl/>
        </w:rPr>
        <w:t>روایت 1</w:t>
      </w:r>
      <w:bookmarkEnd w:id="15"/>
    </w:p>
    <w:p w:rsidR="00D840E3" w:rsidRPr="00FA4A33" w:rsidRDefault="00D840E3" w:rsidP="00FA4A33">
      <w:pPr>
        <w:jc w:val="both"/>
        <w:rPr>
          <w:color w:val="008000"/>
        </w:rPr>
      </w:pPr>
      <w:r w:rsidRPr="00FA4A33">
        <w:rPr>
          <w:rFonts w:hint="cs"/>
          <w:color w:val="008000"/>
          <w:rtl/>
        </w:rPr>
        <w:t>«</w:t>
      </w:r>
      <w:r w:rsidR="006C64FB" w:rsidRPr="00FA4A33">
        <w:rPr>
          <w:color w:val="008000"/>
          <w:rtl/>
        </w:rPr>
        <w:t>وَ سُئِلَ الصَّادِقُ عَلَيْهِ السَّلَامُ عَنِ الْخِفَافِ الَّتِي تُبَاعُ فِي السُّوقِ؟ فَقَالَ: اشْتَرِ وَ صَلِّ فِيهَا حَتَّى تَعْلَمَ أَنَّهُ مَيْتَةٌ بِعَيْنِهِ.</w:t>
      </w:r>
      <w:r w:rsidR="006C64FB" w:rsidRPr="00FA4A33">
        <w:rPr>
          <w:rFonts w:hint="cs"/>
          <w:color w:val="008000"/>
          <w:rtl/>
        </w:rPr>
        <w:t>»</w:t>
      </w:r>
      <w:r w:rsidR="00595F29">
        <w:rPr>
          <w:rStyle w:val="ab"/>
          <w:color w:val="008000"/>
          <w:rtl/>
        </w:rPr>
        <w:footnoteReference w:id="7"/>
      </w:r>
    </w:p>
    <w:p w:rsidR="00B15F87" w:rsidRDefault="00595F29" w:rsidP="004A03D1">
      <w:pPr>
        <w:jc w:val="both"/>
        <w:rPr>
          <w:rtl/>
        </w:rPr>
      </w:pPr>
      <w:r>
        <w:rPr>
          <w:rFonts w:hint="cs"/>
          <w:rtl/>
        </w:rPr>
        <w:t xml:space="preserve">سند روایت معتبر است. </w:t>
      </w:r>
      <w:r w:rsidR="004A03D1">
        <w:rPr>
          <w:rFonts w:hint="cs"/>
          <w:rtl/>
        </w:rPr>
        <w:t xml:space="preserve">در این روایت حضرت در مورد کالای چرمی که از بازار مسلمانان </w:t>
      </w:r>
      <w:r w:rsidR="005A1AE8">
        <w:rPr>
          <w:rFonts w:hint="cs"/>
          <w:rtl/>
        </w:rPr>
        <w:t>(ید مسلمان)</w:t>
      </w:r>
      <w:r w:rsidR="004A03D1">
        <w:rPr>
          <w:rFonts w:hint="cs"/>
          <w:rtl/>
        </w:rPr>
        <w:t>خریداری شده است فرموده اند که حکم مذکی دارد.</w:t>
      </w:r>
    </w:p>
    <w:p w:rsidR="004A03D1" w:rsidRDefault="004A03D1" w:rsidP="004A03D1">
      <w:pPr>
        <w:pStyle w:val="50"/>
        <w:rPr>
          <w:rtl/>
        </w:rPr>
      </w:pPr>
      <w:bookmarkStart w:id="16" w:name="_Toc1436208"/>
      <w:r>
        <w:rPr>
          <w:rFonts w:hint="cs"/>
          <w:rtl/>
        </w:rPr>
        <w:t>مناقشه</w:t>
      </w:r>
      <w:bookmarkEnd w:id="16"/>
    </w:p>
    <w:p w:rsidR="00D840E3" w:rsidRDefault="004A03D1" w:rsidP="004A03D1">
      <w:pPr>
        <w:jc w:val="both"/>
        <w:rPr>
          <w:rtl/>
        </w:rPr>
      </w:pPr>
      <w:r>
        <w:rPr>
          <w:rFonts w:hint="cs"/>
          <w:rtl/>
        </w:rPr>
        <w:t xml:space="preserve"> در این روای</w:t>
      </w:r>
      <w:r w:rsidR="00D840E3">
        <w:rPr>
          <w:rFonts w:hint="cs"/>
          <w:rtl/>
        </w:rPr>
        <w:t>ت قید سوق آمده است لذا ارتباطی با ید ندارد.</w:t>
      </w:r>
    </w:p>
    <w:p w:rsidR="004A03D1" w:rsidRDefault="004A03D1" w:rsidP="004A03D1">
      <w:pPr>
        <w:pStyle w:val="6"/>
        <w:rPr>
          <w:rtl/>
        </w:rPr>
      </w:pPr>
      <w:bookmarkStart w:id="17" w:name="_Toc1436209"/>
      <w:r>
        <w:rPr>
          <w:rFonts w:hint="cs"/>
          <w:rtl/>
        </w:rPr>
        <w:lastRenderedPageBreak/>
        <w:t>تخلّص</w:t>
      </w:r>
      <w:bookmarkEnd w:id="17"/>
    </w:p>
    <w:p w:rsidR="00D840E3" w:rsidRDefault="00D840E3" w:rsidP="005A1AE8">
      <w:pPr>
        <w:jc w:val="both"/>
        <w:rPr>
          <w:rtl/>
        </w:rPr>
      </w:pPr>
      <w:r>
        <w:rPr>
          <w:rFonts w:hint="cs"/>
          <w:rtl/>
        </w:rPr>
        <w:t>عده ای</w:t>
      </w:r>
      <w:r w:rsidR="005A1AE8">
        <w:rPr>
          <w:rFonts w:hint="cs"/>
          <w:rtl/>
        </w:rPr>
        <w:t xml:space="preserve"> در این جا</w:t>
      </w:r>
      <w:r>
        <w:rPr>
          <w:rFonts w:hint="cs"/>
          <w:rtl/>
        </w:rPr>
        <w:t xml:space="preserve"> قائلند که نفس سوق موضوعیت ندارد</w:t>
      </w:r>
      <w:r w:rsidR="005A1AE8">
        <w:rPr>
          <w:rFonts w:hint="cs"/>
          <w:rtl/>
        </w:rPr>
        <w:t>،</w:t>
      </w:r>
      <w:r>
        <w:rPr>
          <w:rFonts w:hint="cs"/>
          <w:rtl/>
        </w:rPr>
        <w:t xml:space="preserve"> بلکه</w:t>
      </w:r>
      <w:r w:rsidR="004A03D1">
        <w:rPr>
          <w:rFonts w:hint="cs"/>
          <w:rtl/>
        </w:rPr>
        <w:t xml:space="preserve"> سوق</w:t>
      </w:r>
      <w:r w:rsidR="005A1AE8">
        <w:rPr>
          <w:rFonts w:hint="cs"/>
          <w:rtl/>
        </w:rPr>
        <w:t>،</w:t>
      </w:r>
      <w:r w:rsidR="004A03D1">
        <w:rPr>
          <w:rFonts w:hint="cs"/>
          <w:rtl/>
        </w:rPr>
        <w:t xml:space="preserve"> </w:t>
      </w:r>
      <w:r w:rsidR="005A1AE8">
        <w:rPr>
          <w:rFonts w:hint="cs"/>
          <w:rtl/>
        </w:rPr>
        <w:t>نشان دهنده</w:t>
      </w:r>
      <w:r>
        <w:rPr>
          <w:rFonts w:hint="cs"/>
          <w:rtl/>
        </w:rPr>
        <w:t xml:space="preserve"> مسلمان بودن ذوالید است. شاهد این برداشت هم روایاتی مثل روایت زیر است:</w:t>
      </w:r>
    </w:p>
    <w:p w:rsidR="00CE4AB1" w:rsidRDefault="00CE4AB1" w:rsidP="005A1AE8">
      <w:pPr>
        <w:jc w:val="both"/>
        <w:rPr>
          <w:color w:val="008000"/>
          <w:rtl/>
        </w:rPr>
      </w:pPr>
      <w:r>
        <w:rPr>
          <w:rFonts w:hint="cs"/>
          <w:rtl/>
        </w:rPr>
        <w:t xml:space="preserve">در روایت </w:t>
      </w:r>
      <w:r w:rsidR="00D840E3">
        <w:rPr>
          <w:rFonts w:hint="cs"/>
          <w:rtl/>
        </w:rPr>
        <w:t>اسحاق بن عمار</w:t>
      </w:r>
      <w:r>
        <w:rPr>
          <w:rFonts w:hint="cs"/>
          <w:rtl/>
        </w:rPr>
        <w:t xml:space="preserve">  چنین آمده است</w:t>
      </w:r>
      <w:r w:rsidR="005A1AE8">
        <w:t>:</w:t>
      </w:r>
      <w:r w:rsidRPr="00CE4AB1">
        <w:rPr>
          <w:rtl/>
        </w:rPr>
        <w:t xml:space="preserve"> </w:t>
      </w:r>
      <w:r w:rsidR="005A1AE8" w:rsidRPr="005A1AE8">
        <w:rPr>
          <w:rFonts w:hint="cs"/>
          <w:color w:val="008000"/>
          <w:rtl/>
        </w:rPr>
        <w:t>«</w:t>
      </w:r>
      <w:r w:rsidR="005A1AE8" w:rsidRPr="005A1AE8">
        <w:rPr>
          <w:color w:val="008000"/>
          <w:rtl/>
        </w:rPr>
        <w:t>لَا بَأْسَ بِالصَّلَاةِ فِي الْفِرَاءِ  الْيَمَانِيِّ وَ فِيمَا صُنِعَ فِي أَرْضِ الْإِسْلَامِ- قُلْتُ فَإِن‏ كَانَ فِيهَا غَيْرُ أَهْلِ الْإِسْلَامِ- قَالَ إِذَا كَانَ الْغَالِبُ عَلَيْهَا الْمُسْلِمِينَ فَلَا بَأْسَ.</w:t>
      </w:r>
      <w:r w:rsidR="005A1AE8" w:rsidRPr="005A1AE8">
        <w:rPr>
          <w:rFonts w:hint="cs"/>
          <w:color w:val="008000"/>
          <w:rtl/>
        </w:rPr>
        <w:t>»</w:t>
      </w:r>
      <w:r w:rsidR="005A1AE8">
        <w:rPr>
          <w:rStyle w:val="ab"/>
          <w:color w:val="008000"/>
          <w:rtl/>
        </w:rPr>
        <w:footnoteReference w:id="8"/>
      </w:r>
    </w:p>
    <w:p w:rsidR="00F358AB" w:rsidRPr="00F358AB" w:rsidRDefault="00F358AB" w:rsidP="00F358AB">
      <w:pPr>
        <w:rPr>
          <w:rtl/>
        </w:rPr>
      </w:pPr>
      <w:r>
        <w:rPr>
          <w:rFonts w:hint="cs"/>
          <w:rtl/>
        </w:rPr>
        <w:t>وقتی در کلام امام، ارض اسلام به غلبه مسلمین تفسیر شده است، این نشان از آن دارد که ملاک، مسلمان بودن فروشنده(ذو الید) است.</w:t>
      </w:r>
    </w:p>
    <w:p w:rsidR="000D3D7A" w:rsidRDefault="000D3D7A" w:rsidP="000D3D7A">
      <w:pPr>
        <w:pStyle w:val="40"/>
        <w:rPr>
          <w:rtl/>
        </w:rPr>
      </w:pPr>
      <w:bookmarkStart w:id="18" w:name="_Toc1436210"/>
      <w:r>
        <w:rPr>
          <w:rFonts w:hint="cs"/>
          <w:rtl/>
        </w:rPr>
        <w:t>روایت 2</w:t>
      </w:r>
      <w:bookmarkEnd w:id="18"/>
    </w:p>
    <w:p w:rsidR="00E14178" w:rsidRPr="00E14178" w:rsidRDefault="00E14178" w:rsidP="00DD09DB">
      <w:pPr>
        <w:jc w:val="both"/>
      </w:pPr>
      <w:r>
        <w:rPr>
          <w:rFonts w:hint="cs"/>
          <w:rtl/>
        </w:rPr>
        <w:t>در برخی از روایات آمده است که اگر فروشنده مسلمان باشد</w:t>
      </w:r>
      <w:r w:rsidR="00F358AB">
        <w:rPr>
          <w:rFonts w:hint="cs"/>
          <w:rtl/>
        </w:rPr>
        <w:t>،</w:t>
      </w:r>
      <w:r>
        <w:rPr>
          <w:rFonts w:hint="cs"/>
          <w:rtl/>
        </w:rPr>
        <w:t xml:space="preserve"> دیگر نیازی به سوال کردن نیست. از اطلاق این روایات استفاده می شود که ید مسلم </w:t>
      </w:r>
      <w:r w:rsidR="00DD09DB">
        <w:rPr>
          <w:rFonts w:hint="cs"/>
          <w:rtl/>
        </w:rPr>
        <w:t>اماره تذکیه و طهارت است.</w:t>
      </w:r>
    </w:p>
    <w:p w:rsidR="00DD09DB" w:rsidRDefault="00DD09DB" w:rsidP="00DD09DB">
      <w:pPr>
        <w:pStyle w:val="30"/>
        <w:rPr>
          <w:rtl/>
        </w:rPr>
      </w:pPr>
      <w:bookmarkStart w:id="19" w:name="_Toc1436211"/>
      <w:r>
        <w:rPr>
          <w:rFonts w:hint="cs"/>
          <w:rtl/>
        </w:rPr>
        <w:t>شرط دلالت ید بر مذکی بودن</w:t>
      </w:r>
      <w:bookmarkEnd w:id="19"/>
    </w:p>
    <w:p w:rsidR="00F700DC" w:rsidRDefault="00DD09DB" w:rsidP="004E1A52">
      <w:pPr>
        <w:jc w:val="both"/>
        <w:rPr>
          <w:rtl/>
        </w:rPr>
      </w:pPr>
      <w:r>
        <w:rPr>
          <w:rFonts w:hint="cs"/>
          <w:rtl/>
        </w:rPr>
        <w:t xml:space="preserve">از روایات استفاده می شود که </w:t>
      </w:r>
      <w:r w:rsidR="004E1A52">
        <w:rPr>
          <w:rFonts w:hint="cs"/>
          <w:rtl/>
        </w:rPr>
        <w:t>اماره بودن ید مسلمان بر مذکّی بودن آن چه در دست اوست،</w:t>
      </w:r>
      <w:r>
        <w:rPr>
          <w:rFonts w:hint="cs"/>
          <w:rtl/>
        </w:rPr>
        <w:t xml:space="preserve"> فقط در صورتی</w:t>
      </w:r>
      <w:r w:rsidR="004E1A52">
        <w:rPr>
          <w:rFonts w:hint="cs"/>
          <w:rtl/>
        </w:rPr>
        <w:t xml:space="preserve"> است</w:t>
      </w:r>
      <w:r>
        <w:rPr>
          <w:rFonts w:hint="cs"/>
          <w:rtl/>
        </w:rPr>
        <w:t xml:space="preserve"> ک</w:t>
      </w:r>
      <w:r w:rsidR="004E1A52">
        <w:rPr>
          <w:rFonts w:hint="cs"/>
          <w:rtl/>
        </w:rPr>
        <w:t xml:space="preserve">ه ذو الید با آن معامله مذکی کند( به این معنا که مثلا آن را می خواهد بخورد یا در معرض فروش قرار داده است). اما اگر ذو الید مسلمان کاری با آن نکند که نشانه مذکی بودن آن </w:t>
      </w:r>
      <w:r w:rsidR="004E1A52" w:rsidRPr="004E1A52">
        <w:rPr>
          <w:rFonts w:hint="cs"/>
          <w:u w:val="single"/>
          <w:rtl/>
        </w:rPr>
        <w:t>نزد او</w:t>
      </w:r>
      <w:r w:rsidR="004E1A52">
        <w:rPr>
          <w:rFonts w:hint="cs"/>
          <w:rtl/>
        </w:rPr>
        <w:t xml:space="preserve"> باشد، قاعده ید دلیل بر مذکی بودن آن نمی شود، زیرا ادله ای که گذشت صرفا ناظر به صورت مذکور بودند؛ مثلا</w:t>
      </w:r>
      <w:r w:rsidR="00E14178">
        <w:rPr>
          <w:rFonts w:hint="cs"/>
          <w:rtl/>
        </w:rPr>
        <w:t xml:space="preserve"> گوشتی را در دست مسلمانی دیدیم و نمی دانیم که می خواهد آن را بفروشد یا این که </w:t>
      </w:r>
      <w:r w:rsidR="00F358AB">
        <w:rPr>
          <w:rFonts w:hint="cs"/>
          <w:rtl/>
        </w:rPr>
        <w:t>در فضولات</w:t>
      </w:r>
      <w:r w:rsidR="00E14178">
        <w:rPr>
          <w:rFonts w:hint="cs"/>
          <w:rtl/>
        </w:rPr>
        <w:t xml:space="preserve"> بیندازد، </w:t>
      </w:r>
      <w:r w:rsidR="004E1A52">
        <w:rPr>
          <w:rFonts w:hint="cs"/>
          <w:rtl/>
        </w:rPr>
        <w:t xml:space="preserve">قاعده ید جاری نمی شود و </w:t>
      </w:r>
      <w:r w:rsidR="00E14178">
        <w:rPr>
          <w:rFonts w:hint="cs"/>
          <w:rtl/>
        </w:rPr>
        <w:t>نمی توانیم با آن معامله مذک</w:t>
      </w:r>
      <w:r w:rsidR="004E1A52">
        <w:rPr>
          <w:rFonts w:hint="cs"/>
          <w:rtl/>
        </w:rPr>
        <w:t>ی کنیم.</w:t>
      </w:r>
    </w:p>
    <w:p w:rsidR="009F75D7" w:rsidRDefault="009F75D7" w:rsidP="00B22986">
      <w:pPr>
        <w:pStyle w:val="1"/>
        <w:jc w:val="both"/>
        <w:rPr>
          <w:rtl/>
        </w:rPr>
      </w:pPr>
      <w:bookmarkStart w:id="20" w:name="_Toc1436212"/>
      <w:r>
        <w:rPr>
          <w:rFonts w:hint="cs"/>
          <w:rtl/>
        </w:rPr>
        <w:t>خلاصه جلسه</w:t>
      </w:r>
      <w:bookmarkEnd w:id="20"/>
    </w:p>
    <w:p w:rsidR="009676EE" w:rsidRDefault="009676EE" w:rsidP="00B22986">
      <w:pPr>
        <w:jc w:val="both"/>
        <w:rPr>
          <w:rtl/>
        </w:rPr>
      </w:pPr>
      <w:r>
        <w:rPr>
          <w:rFonts w:hint="cs"/>
          <w:rtl/>
        </w:rPr>
        <w:t xml:space="preserve">جریان قاعده ید برای اثبات حق اختصاص: دلیل: روایت یونس، سیره عقلاء، روایت محمد بن حسین. مناقشه در اخیر: این روایت در فرض قطع به وجود حق است. تخلص: اعم است. </w:t>
      </w:r>
    </w:p>
    <w:p w:rsidR="009676EE" w:rsidRDefault="009676EE" w:rsidP="00B22986">
      <w:pPr>
        <w:jc w:val="both"/>
        <w:rPr>
          <w:rtl/>
        </w:rPr>
      </w:pPr>
      <w:r>
        <w:rPr>
          <w:rFonts w:hint="cs"/>
          <w:rtl/>
        </w:rPr>
        <w:t xml:space="preserve">جهت هشتم: بررسی اماریت ید نسبت به تذکیه و طهارت: دلیل: سیره و روایات. مناقشه در روایت 1: حکم در این روایت به جهت سوق مسلمین است. تخلص: سوق صرفا نشان دهنده مسلمان بودن ذو الید است و آن چه موجب حکم به مذکی بودن </w:t>
      </w:r>
      <w:r>
        <w:rPr>
          <w:rFonts w:hint="cs"/>
          <w:rtl/>
        </w:rPr>
        <w:lastRenderedPageBreak/>
        <w:t xml:space="preserve">است نفس ید است. نکته: شرط دلالت ید بر مذکی بودن: ذو الید کاری کند که نشان از مذکی بودن نزد او دارد. دلیل: ظاهر روایات. </w:t>
      </w:r>
    </w:p>
    <w:p w:rsidR="0075221C" w:rsidRPr="009676EE" w:rsidRDefault="0075221C" w:rsidP="00B22986">
      <w:pPr>
        <w:jc w:val="both"/>
        <w:rPr>
          <w:rtl/>
        </w:rPr>
      </w:pPr>
    </w:p>
    <w:p w:rsidR="009F75D7" w:rsidRDefault="009F75D7" w:rsidP="004E1A52">
      <w:pPr>
        <w:jc w:val="both"/>
        <w:rPr>
          <w:rtl/>
        </w:rPr>
      </w:pPr>
      <w:bookmarkStart w:id="21" w:name="_GoBack"/>
      <w:bookmarkEnd w:id="21"/>
    </w:p>
    <w:p w:rsidR="00C66ADE" w:rsidRPr="006C64FB" w:rsidRDefault="00C66ADE" w:rsidP="00D80376">
      <w:pPr>
        <w:jc w:val="both"/>
        <w:rPr>
          <w:rtl/>
        </w:rPr>
      </w:pPr>
    </w:p>
    <w:p w:rsidR="004F7CD3" w:rsidRPr="006162A2" w:rsidRDefault="004F7CD3" w:rsidP="00D80376">
      <w:pPr>
        <w:jc w:val="both"/>
        <w:rPr>
          <w:rtl/>
        </w:rPr>
      </w:pPr>
    </w:p>
    <w:sectPr w:rsidR="004F7CD3"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D2" w:rsidRDefault="00DF64D2" w:rsidP="008B750B">
      <w:pPr>
        <w:spacing w:line="240" w:lineRule="auto"/>
      </w:pPr>
      <w:r>
        <w:separator/>
      </w:r>
    </w:p>
  </w:endnote>
  <w:endnote w:type="continuationSeparator" w:id="0">
    <w:p w:rsidR="00DF64D2" w:rsidRDefault="00DF64D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973BE9" w:rsidRPr="006D44C1" w:rsidTr="0020241A">
      <w:tc>
        <w:tcPr>
          <w:tcW w:w="3382" w:type="dxa"/>
          <w:tcBorders>
            <w:top w:val="nil"/>
            <w:left w:val="nil"/>
            <w:bottom w:val="nil"/>
            <w:right w:val="nil"/>
          </w:tcBorders>
        </w:tcPr>
        <w:p w:rsidR="00973BE9" w:rsidRDefault="00973BE9"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973BE9" w:rsidRDefault="00973BE9" w:rsidP="006D44C1">
          <w:pPr>
            <w:pStyle w:val="a6"/>
            <w:jc w:val="right"/>
            <w:rPr>
              <w:rtl/>
            </w:rPr>
          </w:pPr>
          <w:r>
            <w:rPr>
              <w:rFonts w:hint="cs"/>
              <w:rtl/>
            </w:rPr>
            <w:t xml:space="preserve">صفحه </w:t>
          </w:r>
          <w:r>
            <w:fldChar w:fldCharType="begin"/>
          </w:r>
          <w:r>
            <w:instrText>PAGE   \* MERGEFORMAT</w:instrText>
          </w:r>
          <w:r>
            <w:fldChar w:fldCharType="separate"/>
          </w:r>
          <w:r w:rsidR="0043426E" w:rsidRPr="0043426E">
            <w:rPr>
              <w:noProof/>
              <w:rtl/>
              <w:lang w:val="fa-IR"/>
            </w:rPr>
            <w:t>6</w:t>
          </w:r>
          <w:r>
            <w:rPr>
              <w:noProof/>
            </w:rPr>
            <w:fldChar w:fldCharType="end"/>
          </w:r>
        </w:p>
      </w:tc>
      <w:tc>
        <w:tcPr>
          <w:tcW w:w="4786" w:type="dxa"/>
          <w:tcBorders>
            <w:top w:val="nil"/>
            <w:left w:val="nil"/>
            <w:bottom w:val="nil"/>
            <w:right w:val="nil"/>
          </w:tcBorders>
          <w:vAlign w:val="center"/>
        </w:tcPr>
        <w:p w:rsidR="00973BE9" w:rsidRPr="006D44C1" w:rsidRDefault="00973BE9" w:rsidP="001B6799">
          <w:pPr>
            <w:pStyle w:val="a6"/>
            <w:bidi w:val="0"/>
            <w:rPr>
              <w:color w:val="808080" w:themeColor="background1" w:themeShade="80"/>
              <w:rtl/>
            </w:rPr>
          </w:pPr>
          <w:bookmarkStart w:id="29" w:name="BokAdres"/>
          <w:bookmarkEnd w:id="29"/>
          <w:r>
            <w:rPr>
              <w:color w:val="808080" w:themeColor="background1" w:themeShade="80"/>
            </w:rPr>
            <w:t>U1hs1_13971129-083_mr3_mfeb.ir</w:t>
          </w:r>
        </w:p>
      </w:tc>
    </w:tr>
  </w:tbl>
  <w:p w:rsidR="00973BE9" w:rsidRDefault="00973BE9"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D2" w:rsidRDefault="00DF64D2" w:rsidP="008B750B">
      <w:pPr>
        <w:spacing w:line="240" w:lineRule="auto"/>
      </w:pPr>
      <w:r>
        <w:separator/>
      </w:r>
    </w:p>
  </w:footnote>
  <w:footnote w:type="continuationSeparator" w:id="0">
    <w:p w:rsidR="00DF64D2" w:rsidRDefault="00DF64D2" w:rsidP="008B750B">
      <w:pPr>
        <w:spacing w:line="240" w:lineRule="auto"/>
      </w:pPr>
      <w:r>
        <w:continuationSeparator/>
      </w:r>
    </w:p>
  </w:footnote>
  <w:footnote w:id="1">
    <w:p w:rsidR="00FA4A33" w:rsidRPr="00A64BF6" w:rsidRDefault="00FA4A33" w:rsidP="00FA4A33">
      <w:pPr>
        <w:pStyle w:val="a9"/>
      </w:pPr>
      <w:r w:rsidRPr="00A64BF6">
        <w:footnoteRef/>
      </w:r>
      <w:r w:rsidRPr="00A64BF6">
        <w:rPr>
          <w:rtl/>
        </w:rPr>
        <w:t xml:space="preserve"> </w:t>
      </w:r>
      <w:hyperlink r:id="rId1" w:history="1">
        <w:r w:rsidRPr="00A64BF6">
          <w:rPr>
            <w:rStyle w:val="ac"/>
            <w:rtl/>
          </w:rPr>
          <w:t>مستند الش</w:t>
        </w:r>
        <w:r w:rsidRPr="00A64BF6">
          <w:rPr>
            <w:rStyle w:val="ac"/>
            <w:rFonts w:hint="cs"/>
            <w:rtl/>
          </w:rPr>
          <w:t>ی</w:t>
        </w:r>
        <w:r w:rsidRPr="00A64BF6">
          <w:rPr>
            <w:rStyle w:val="ac"/>
            <w:rFonts w:hint="eastAsia"/>
            <w:rtl/>
          </w:rPr>
          <w:t>عه،</w:t>
        </w:r>
        <w:r w:rsidRPr="00A64BF6">
          <w:rPr>
            <w:rStyle w:val="ac"/>
            <w:rtl/>
          </w:rPr>
          <w:t xml:space="preserve"> المول</w:t>
        </w:r>
        <w:r w:rsidRPr="00A64BF6">
          <w:rPr>
            <w:rStyle w:val="ac"/>
            <w:rFonts w:hint="cs"/>
            <w:rtl/>
          </w:rPr>
          <w:t>ی</w:t>
        </w:r>
        <w:r w:rsidRPr="00A64BF6">
          <w:rPr>
            <w:rStyle w:val="ac"/>
            <w:rtl/>
          </w:rPr>
          <w:t xml:space="preserve"> احمد النراق</w:t>
        </w:r>
        <w:r w:rsidRPr="00A64BF6">
          <w:rPr>
            <w:rStyle w:val="ac"/>
            <w:rFonts w:hint="cs"/>
            <w:rtl/>
          </w:rPr>
          <w:t>ی</w:t>
        </w:r>
        <w:r w:rsidRPr="00A64BF6">
          <w:rPr>
            <w:rStyle w:val="ac"/>
            <w:rFonts w:hint="eastAsia"/>
            <w:rtl/>
          </w:rPr>
          <w:t>،</w:t>
        </w:r>
        <w:r w:rsidRPr="00A64BF6">
          <w:rPr>
            <w:rStyle w:val="ac"/>
            <w:rtl/>
          </w:rPr>
          <w:t xml:space="preserve"> ج17، ص341.</w:t>
        </w:r>
      </w:hyperlink>
    </w:p>
  </w:footnote>
  <w:footnote w:id="2">
    <w:p w:rsidR="00FA4A33" w:rsidRDefault="00FA4A33" w:rsidP="00FA4A33">
      <w:pPr>
        <w:pStyle w:val="a9"/>
      </w:pPr>
      <w:r>
        <w:footnoteRef/>
      </w:r>
      <w:r>
        <w:rPr>
          <w:rFonts w:hint="cs"/>
          <w:rtl/>
        </w:rPr>
        <w:t xml:space="preserve"> </w:t>
      </w:r>
      <w:hyperlink r:id="rId2" w:history="1">
        <w:r>
          <w:rPr>
            <w:rStyle w:val="ac"/>
            <w:rFonts w:hint="cs"/>
            <w:rtl/>
          </w:rPr>
          <w:t>وسائل الشیعة، الشیخ الحر العاملي، ج26، ص216، أبواب مِيرَاثِ الْأَزْوَاج‏، باب8، ح3، ط آل البيت.</w:t>
        </w:r>
      </w:hyperlink>
    </w:p>
  </w:footnote>
  <w:footnote w:id="3">
    <w:p w:rsidR="00010E30" w:rsidRDefault="00010E30">
      <w:pPr>
        <w:pStyle w:val="a9"/>
        <w:rPr>
          <w:rtl/>
        </w:rPr>
      </w:pPr>
      <w:r>
        <w:rPr>
          <w:rStyle w:val="ab"/>
        </w:rPr>
        <w:footnoteRef/>
      </w:r>
      <w:r>
        <w:rPr>
          <w:rtl/>
        </w:rPr>
        <w:t xml:space="preserve"> </w:t>
      </w:r>
      <w:r>
        <w:rPr>
          <w:rFonts w:hint="cs"/>
          <w:rtl/>
        </w:rPr>
        <w:t xml:space="preserve">استاد: چند احتمال در مورد محمد بن حسین است که در همه آن ها این راوی معتبر است. </w:t>
      </w:r>
    </w:p>
  </w:footnote>
  <w:footnote w:id="4">
    <w:p w:rsidR="00973BE9" w:rsidRPr="00D80376" w:rsidRDefault="00973BE9" w:rsidP="00D80376">
      <w:pPr>
        <w:pStyle w:val="a9"/>
      </w:pPr>
      <w:r w:rsidRPr="00D80376">
        <w:footnoteRef/>
      </w:r>
      <w:r w:rsidRPr="00D80376">
        <w:rPr>
          <w:rtl/>
        </w:rPr>
        <w:t xml:space="preserve"> </w:t>
      </w:r>
      <w:hyperlink r:id="rId3" w:history="1">
        <w:r w:rsidRPr="00D80376">
          <w:rPr>
            <w:rStyle w:val="ac"/>
            <w:rtl/>
          </w:rPr>
          <w:t>وسائل الش</w:t>
        </w:r>
        <w:r w:rsidRPr="00D80376">
          <w:rPr>
            <w:rStyle w:val="ac"/>
            <w:rFonts w:hint="cs"/>
            <w:rtl/>
          </w:rPr>
          <w:t>ی</w:t>
        </w:r>
        <w:r w:rsidRPr="00D80376">
          <w:rPr>
            <w:rStyle w:val="ac"/>
            <w:rFonts w:hint="eastAsia"/>
            <w:rtl/>
          </w:rPr>
          <w:t>عة،</w:t>
        </w:r>
        <w:r w:rsidRPr="00D80376">
          <w:rPr>
            <w:rStyle w:val="ac"/>
            <w:rtl/>
          </w:rPr>
          <w:t xml:space="preserve"> الش</w:t>
        </w:r>
        <w:r w:rsidRPr="00D80376">
          <w:rPr>
            <w:rStyle w:val="ac"/>
            <w:rFonts w:hint="cs"/>
            <w:rtl/>
          </w:rPr>
          <w:t>ی</w:t>
        </w:r>
        <w:r w:rsidRPr="00D80376">
          <w:rPr>
            <w:rStyle w:val="ac"/>
            <w:rFonts w:hint="eastAsia"/>
            <w:rtl/>
          </w:rPr>
          <w:t>خ</w:t>
        </w:r>
        <w:r w:rsidRPr="00D80376">
          <w:rPr>
            <w:rStyle w:val="ac"/>
            <w:rtl/>
          </w:rPr>
          <w:t xml:space="preserve"> الحر العاملي، ج25، ص431، أبواب الغصب، باب15، ح1، ط آل البيت.</w:t>
        </w:r>
      </w:hyperlink>
    </w:p>
  </w:footnote>
  <w:footnote w:id="5">
    <w:p w:rsidR="00973BE9" w:rsidRDefault="00973BE9" w:rsidP="00D80376">
      <w:pPr>
        <w:pStyle w:val="a9"/>
      </w:pPr>
      <w:r>
        <w:rPr>
          <w:rStyle w:val="ab"/>
        </w:rPr>
        <w:footnoteRef/>
      </w:r>
      <w:r>
        <w:rPr>
          <w:rtl/>
        </w:rPr>
        <w:t xml:space="preserve"> </w:t>
      </w:r>
      <w:r w:rsidRPr="00D80376">
        <w:rPr>
          <w:rtl/>
        </w:rPr>
        <w:t>نکته: از آن جا</w:t>
      </w:r>
      <w:r w:rsidRPr="00D80376">
        <w:rPr>
          <w:rFonts w:hint="cs"/>
          <w:rtl/>
        </w:rPr>
        <w:t>یی</w:t>
      </w:r>
      <w:r w:rsidRPr="00D80376">
        <w:rPr>
          <w:rtl/>
        </w:rPr>
        <w:t xml:space="preserve"> که نهر در قر</w:t>
      </w:r>
      <w:r w:rsidRPr="00D80376">
        <w:rPr>
          <w:rFonts w:hint="cs"/>
          <w:rtl/>
        </w:rPr>
        <w:t>ی</w:t>
      </w:r>
      <w:r w:rsidRPr="00D80376">
        <w:rPr>
          <w:rFonts w:hint="eastAsia"/>
          <w:rtl/>
        </w:rPr>
        <w:t>ه</w:t>
      </w:r>
      <w:r w:rsidRPr="00D80376">
        <w:rPr>
          <w:rtl/>
        </w:rPr>
        <w:t xml:space="preserve"> است، صاحب قر</w:t>
      </w:r>
      <w:r w:rsidRPr="00D80376">
        <w:rPr>
          <w:rFonts w:hint="cs"/>
          <w:rtl/>
        </w:rPr>
        <w:t>ی</w:t>
      </w:r>
      <w:r w:rsidRPr="00D80376">
        <w:rPr>
          <w:rFonts w:hint="eastAsia"/>
          <w:rtl/>
        </w:rPr>
        <w:t>ه</w:t>
      </w:r>
      <w:r w:rsidRPr="00D80376">
        <w:rPr>
          <w:rtl/>
        </w:rPr>
        <w:t xml:space="preserve"> صاحب نهر ن</w:t>
      </w:r>
      <w:r w:rsidRPr="00D80376">
        <w:rPr>
          <w:rFonts w:hint="cs"/>
          <w:rtl/>
        </w:rPr>
        <w:t>ی</w:t>
      </w:r>
      <w:r w:rsidRPr="00D80376">
        <w:rPr>
          <w:rFonts w:hint="eastAsia"/>
          <w:rtl/>
        </w:rPr>
        <w:t>ز</w:t>
      </w:r>
      <w:r w:rsidRPr="00D80376">
        <w:rPr>
          <w:rtl/>
        </w:rPr>
        <w:t xml:space="preserve"> محسوب م</w:t>
      </w:r>
      <w:r w:rsidRPr="00D80376">
        <w:rPr>
          <w:rFonts w:hint="cs"/>
          <w:rtl/>
        </w:rPr>
        <w:t>ی‌</w:t>
      </w:r>
      <w:r w:rsidRPr="00D80376">
        <w:rPr>
          <w:rFonts w:hint="eastAsia"/>
          <w:rtl/>
        </w:rPr>
        <w:t>شود</w:t>
      </w:r>
      <w:r w:rsidRPr="00D80376">
        <w:rPr>
          <w:rtl/>
        </w:rPr>
        <w:t>.</w:t>
      </w:r>
      <w:r>
        <w:rPr>
          <w:rFonts w:hint="cs"/>
          <w:rtl/>
        </w:rPr>
        <w:t>(استاد)</w:t>
      </w:r>
    </w:p>
  </w:footnote>
  <w:footnote w:id="6">
    <w:p w:rsidR="00DC3319" w:rsidRPr="00DC3319" w:rsidRDefault="00DC3319" w:rsidP="00DC3319">
      <w:pPr>
        <w:pStyle w:val="a9"/>
      </w:pPr>
      <w:r w:rsidRPr="00DC3319">
        <w:footnoteRef/>
      </w:r>
      <w:r w:rsidRPr="00DC3319">
        <w:rPr>
          <w:rtl/>
        </w:rPr>
        <w:t xml:space="preserve"> </w:t>
      </w:r>
      <w:hyperlink r:id="rId4" w:history="1">
        <w:r w:rsidRPr="00DC3319">
          <w:rPr>
            <w:rStyle w:val="ac"/>
            <w:rFonts w:hint="eastAsia"/>
            <w:rtl/>
          </w:rPr>
          <w:t>مستند</w:t>
        </w:r>
        <w:r w:rsidRPr="00DC3319">
          <w:rPr>
            <w:rStyle w:val="ac"/>
            <w:rtl/>
          </w:rPr>
          <w:t xml:space="preserve"> الش</w:t>
        </w:r>
        <w:r w:rsidRPr="00DC3319">
          <w:rPr>
            <w:rStyle w:val="ac"/>
            <w:rFonts w:hint="cs"/>
            <w:rtl/>
          </w:rPr>
          <w:t>ی</w:t>
        </w:r>
        <w:r w:rsidRPr="00DC3319">
          <w:rPr>
            <w:rStyle w:val="ac"/>
            <w:rFonts w:hint="eastAsia"/>
            <w:rtl/>
          </w:rPr>
          <w:t>عه،</w:t>
        </w:r>
        <w:r w:rsidRPr="00DC3319">
          <w:rPr>
            <w:rStyle w:val="ac"/>
            <w:rtl/>
          </w:rPr>
          <w:t xml:space="preserve"> المول</w:t>
        </w:r>
        <w:r w:rsidRPr="00DC3319">
          <w:rPr>
            <w:rStyle w:val="ac"/>
            <w:rFonts w:hint="cs"/>
            <w:rtl/>
          </w:rPr>
          <w:t>ی</w:t>
        </w:r>
        <w:r w:rsidRPr="00DC3319">
          <w:rPr>
            <w:rStyle w:val="ac"/>
            <w:rtl/>
          </w:rPr>
          <w:t xml:space="preserve"> احمد النراق</w:t>
        </w:r>
        <w:r w:rsidRPr="00DC3319">
          <w:rPr>
            <w:rStyle w:val="ac"/>
            <w:rFonts w:hint="cs"/>
            <w:rtl/>
          </w:rPr>
          <w:t>ی</w:t>
        </w:r>
        <w:r w:rsidRPr="00DC3319">
          <w:rPr>
            <w:rStyle w:val="ac"/>
            <w:rFonts w:hint="eastAsia"/>
            <w:rtl/>
          </w:rPr>
          <w:t>،</w:t>
        </w:r>
        <w:r w:rsidRPr="00DC3319">
          <w:rPr>
            <w:rStyle w:val="ac"/>
            <w:rtl/>
          </w:rPr>
          <w:t xml:space="preserve"> ج17، ص342.</w:t>
        </w:r>
      </w:hyperlink>
    </w:p>
  </w:footnote>
  <w:footnote w:id="7">
    <w:p w:rsidR="00595F29" w:rsidRPr="00595F29" w:rsidRDefault="00595F29" w:rsidP="00595F29">
      <w:pPr>
        <w:pStyle w:val="a9"/>
      </w:pPr>
      <w:r w:rsidRPr="00595F29">
        <w:footnoteRef/>
      </w:r>
      <w:r w:rsidRPr="00595F29">
        <w:rPr>
          <w:rtl/>
        </w:rPr>
        <w:t xml:space="preserve"> </w:t>
      </w:r>
      <w:hyperlink r:id="rId5" w:history="1">
        <w:r w:rsidRPr="00595F29">
          <w:rPr>
            <w:rStyle w:val="ac"/>
            <w:rtl/>
          </w:rPr>
          <w:t>وسائل الش</w:t>
        </w:r>
        <w:r w:rsidRPr="00595F29">
          <w:rPr>
            <w:rStyle w:val="ac"/>
            <w:rFonts w:hint="cs"/>
            <w:rtl/>
          </w:rPr>
          <w:t>ی</w:t>
        </w:r>
        <w:r w:rsidRPr="00595F29">
          <w:rPr>
            <w:rStyle w:val="ac"/>
            <w:rFonts w:hint="eastAsia"/>
            <w:rtl/>
          </w:rPr>
          <w:t>عة،</w:t>
        </w:r>
        <w:r w:rsidRPr="00595F29">
          <w:rPr>
            <w:rStyle w:val="ac"/>
            <w:rtl/>
          </w:rPr>
          <w:t xml:space="preserve"> الش</w:t>
        </w:r>
        <w:r w:rsidRPr="00595F29">
          <w:rPr>
            <w:rStyle w:val="ac"/>
            <w:rFonts w:hint="cs"/>
            <w:rtl/>
          </w:rPr>
          <w:t>ی</w:t>
        </w:r>
        <w:r w:rsidRPr="00595F29">
          <w:rPr>
            <w:rStyle w:val="ac"/>
            <w:rFonts w:hint="eastAsia"/>
            <w:rtl/>
          </w:rPr>
          <w:t>خ</w:t>
        </w:r>
        <w:r w:rsidRPr="00595F29">
          <w:rPr>
            <w:rStyle w:val="ac"/>
            <w:rtl/>
          </w:rPr>
          <w:t xml:space="preserve"> الحر العاملي، ج3، ص490، أبواب النَّجَاسَاتِ وَ الْأَوَانِي وَ الْجُلُود، باب50، ح2، ط آل البيت.</w:t>
        </w:r>
      </w:hyperlink>
    </w:p>
  </w:footnote>
  <w:footnote w:id="8">
    <w:p w:rsidR="005A1AE8" w:rsidRPr="005A1AE8" w:rsidRDefault="005A1AE8" w:rsidP="005A1AE8">
      <w:pPr>
        <w:pStyle w:val="a9"/>
      </w:pPr>
      <w:r w:rsidRPr="005A1AE8">
        <w:footnoteRef/>
      </w:r>
      <w:r w:rsidRPr="005A1AE8">
        <w:rPr>
          <w:rtl/>
        </w:rPr>
        <w:t xml:space="preserve"> </w:t>
      </w:r>
      <w:hyperlink r:id="rId6" w:history="1">
        <w:r w:rsidRPr="005A1AE8">
          <w:rPr>
            <w:rStyle w:val="ac"/>
            <w:rFonts w:hint="eastAsia"/>
            <w:rtl/>
          </w:rPr>
          <w:t>وسائل</w:t>
        </w:r>
        <w:r w:rsidRPr="005A1AE8">
          <w:rPr>
            <w:rStyle w:val="ac"/>
            <w:rtl/>
          </w:rPr>
          <w:t xml:space="preserve"> الش</w:t>
        </w:r>
        <w:r w:rsidRPr="005A1AE8">
          <w:rPr>
            <w:rStyle w:val="ac"/>
            <w:rFonts w:hint="cs"/>
            <w:rtl/>
          </w:rPr>
          <w:t>ی</w:t>
        </w:r>
        <w:r w:rsidRPr="005A1AE8">
          <w:rPr>
            <w:rStyle w:val="ac"/>
            <w:rFonts w:hint="eastAsia"/>
            <w:rtl/>
          </w:rPr>
          <w:t>عة،</w:t>
        </w:r>
        <w:r w:rsidRPr="005A1AE8">
          <w:rPr>
            <w:rStyle w:val="ac"/>
            <w:rtl/>
          </w:rPr>
          <w:t xml:space="preserve"> الش</w:t>
        </w:r>
        <w:r w:rsidRPr="005A1AE8">
          <w:rPr>
            <w:rStyle w:val="ac"/>
            <w:rFonts w:hint="cs"/>
            <w:rtl/>
          </w:rPr>
          <w:t>ی</w:t>
        </w:r>
        <w:r w:rsidRPr="005A1AE8">
          <w:rPr>
            <w:rStyle w:val="ac"/>
            <w:rFonts w:hint="eastAsia"/>
            <w:rtl/>
          </w:rPr>
          <w:t>خ</w:t>
        </w:r>
        <w:r w:rsidRPr="005A1AE8">
          <w:rPr>
            <w:rStyle w:val="ac"/>
            <w:rtl/>
          </w:rPr>
          <w:t xml:space="preserve"> الحر العاملي، ج3، ص491، أبواب النَّجَاسَاتِ وَ الْأَوَانِي وَ الْجُلُود، باب50، ح5،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E9" w:rsidRPr="001D2E9A" w:rsidRDefault="00973BE9"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2" w:name="BokNum"/>
    <w:bookmarkEnd w:id="22"/>
    <w:r>
      <w:rPr>
        <w:b/>
        <w:bCs/>
        <w:sz w:val="20"/>
        <w:szCs w:val="24"/>
        <w:rtl/>
      </w:rPr>
      <w:t>083</w:t>
    </w:r>
    <w:r>
      <w:rPr>
        <w:rFonts w:hint="cs"/>
        <w:b/>
        <w:bCs/>
        <w:sz w:val="20"/>
        <w:szCs w:val="24"/>
        <w:rtl/>
      </w:rPr>
      <w:tab/>
    </w:r>
    <w:r w:rsidRPr="00C32A7E">
      <w:rPr>
        <w:rFonts w:hint="cs"/>
        <w:b/>
        <w:bCs/>
        <w:color w:val="632423" w:themeColor="accent2" w:themeShade="80"/>
        <w:sz w:val="20"/>
        <w:szCs w:val="24"/>
        <w:rtl/>
      </w:rPr>
      <w:t xml:space="preserve">درس خارج </w:t>
    </w:r>
    <w:bookmarkStart w:id="23" w:name="Bokdars"/>
    <w:bookmarkEnd w:id="23"/>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4" w:name="Bokostad"/>
    <w:bookmarkEnd w:id="24"/>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5" w:name="BokTarikh"/>
    <w:bookmarkEnd w:id="25"/>
    <w:r>
      <w:rPr>
        <w:sz w:val="24"/>
        <w:szCs w:val="24"/>
        <w:rtl/>
      </w:rPr>
      <w:t>29 /11 /1397</w:t>
    </w:r>
  </w:p>
  <w:p w:rsidR="00973BE9" w:rsidRPr="00F16B53" w:rsidRDefault="00973BE9" w:rsidP="00B85904">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6" w:name="BokSabj"/>
    <w:bookmarkEnd w:id="26"/>
    <w:r>
      <w:rPr>
        <w:color w:val="000000" w:themeColor="text1"/>
        <w:sz w:val="24"/>
        <w:szCs w:val="24"/>
        <w:rtl/>
      </w:rPr>
      <w:t xml:space="preserve">قاعده </w:t>
    </w:r>
    <w:r>
      <w:rPr>
        <w:rFonts w:hint="cs"/>
        <w:color w:val="000000" w:themeColor="text1"/>
        <w:sz w:val="24"/>
        <w:szCs w:val="24"/>
        <w:rtl/>
      </w:rPr>
      <w:t>ی</w:t>
    </w:r>
    <w:r>
      <w:rPr>
        <w:rFonts w:hint="eastAsia"/>
        <w:color w:val="000000" w:themeColor="text1"/>
        <w:sz w:val="24"/>
        <w:szCs w:val="24"/>
        <w:rtl/>
      </w:rPr>
      <w:t>د</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7" w:name="Bokmoqarer"/>
    <w:bookmarkEnd w:id="27"/>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8" w:name="BokSabj2"/>
    <w:bookmarkEnd w:id="28"/>
    <w:r>
      <w:rPr>
        <w:rFonts w:hint="cs"/>
        <w:sz w:val="24"/>
        <w:szCs w:val="24"/>
        <w:rtl/>
      </w:rPr>
      <w:t xml:space="preserve">جریان ید در </w:t>
    </w:r>
    <w:r w:rsidR="00B22986">
      <w:rPr>
        <w:rFonts w:hint="cs"/>
        <w:sz w:val="24"/>
        <w:szCs w:val="24"/>
        <w:rtl/>
      </w:rPr>
      <w:t xml:space="preserve">مورد </w:t>
    </w:r>
    <w:r>
      <w:rPr>
        <w:rFonts w:hint="cs"/>
        <w:sz w:val="24"/>
        <w:szCs w:val="24"/>
        <w:rtl/>
      </w:rPr>
      <w:t>حقوق و اموری مثل تذکیه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5400E"/>
    <w:multiLevelType w:val="hybridMultilevel"/>
    <w:tmpl w:val="02329342"/>
    <w:lvl w:ilvl="0" w:tplc="F45063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D73C3"/>
    <w:multiLevelType w:val="hybridMultilevel"/>
    <w:tmpl w:val="8CE4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0E30"/>
    <w:rsid w:val="00025777"/>
    <w:rsid w:val="00025B70"/>
    <w:rsid w:val="000353D7"/>
    <w:rsid w:val="00055496"/>
    <w:rsid w:val="00080A41"/>
    <w:rsid w:val="0008299B"/>
    <w:rsid w:val="00086DC5"/>
    <w:rsid w:val="000913AA"/>
    <w:rsid w:val="00094847"/>
    <w:rsid w:val="00096C63"/>
    <w:rsid w:val="000B5D00"/>
    <w:rsid w:val="000B5DB5"/>
    <w:rsid w:val="000C3947"/>
    <w:rsid w:val="000D2A37"/>
    <w:rsid w:val="000D30E9"/>
    <w:rsid w:val="000D3D7A"/>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2701E"/>
    <w:rsid w:val="00330275"/>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426E"/>
    <w:rsid w:val="00441B6D"/>
    <w:rsid w:val="004556EF"/>
    <w:rsid w:val="00462B07"/>
    <w:rsid w:val="00465BD2"/>
    <w:rsid w:val="004715C8"/>
    <w:rsid w:val="00481C31"/>
    <w:rsid w:val="00482FC1"/>
    <w:rsid w:val="00483027"/>
    <w:rsid w:val="004871AA"/>
    <w:rsid w:val="004918D7"/>
    <w:rsid w:val="004926E1"/>
    <w:rsid w:val="004A03D1"/>
    <w:rsid w:val="004A2FEA"/>
    <w:rsid w:val="004D2DD7"/>
    <w:rsid w:val="004D75C5"/>
    <w:rsid w:val="004E1A52"/>
    <w:rsid w:val="004E2186"/>
    <w:rsid w:val="004E66FB"/>
    <w:rsid w:val="004F470A"/>
    <w:rsid w:val="004F4C59"/>
    <w:rsid w:val="004F7CD3"/>
    <w:rsid w:val="00500C8F"/>
    <w:rsid w:val="00501909"/>
    <w:rsid w:val="00507BBB"/>
    <w:rsid w:val="005128DF"/>
    <w:rsid w:val="0051592A"/>
    <w:rsid w:val="00517200"/>
    <w:rsid w:val="005206FE"/>
    <w:rsid w:val="005257ED"/>
    <w:rsid w:val="005306F8"/>
    <w:rsid w:val="0054023D"/>
    <w:rsid w:val="005426BF"/>
    <w:rsid w:val="0056213C"/>
    <w:rsid w:val="005751D4"/>
    <w:rsid w:val="00580C24"/>
    <w:rsid w:val="00595F29"/>
    <w:rsid w:val="005968EF"/>
    <w:rsid w:val="00596C1E"/>
    <w:rsid w:val="005A1AE8"/>
    <w:rsid w:val="005A2E26"/>
    <w:rsid w:val="005B7BCA"/>
    <w:rsid w:val="005C0DAE"/>
    <w:rsid w:val="005C188E"/>
    <w:rsid w:val="005D2349"/>
    <w:rsid w:val="005D755D"/>
    <w:rsid w:val="005E1B60"/>
    <w:rsid w:val="005E5507"/>
    <w:rsid w:val="005E607B"/>
    <w:rsid w:val="005F0A8D"/>
    <w:rsid w:val="00601229"/>
    <w:rsid w:val="00603B67"/>
    <w:rsid w:val="00614F97"/>
    <w:rsid w:val="00615111"/>
    <w:rsid w:val="006162A2"/>
    <w:rsid w:val="006240DA"/>
    <w:rsid w:val="0063256E"/>
    <w:rsid w:val="00633F04"/>
    <w:rsid w:val="00635219"/>
    <w:rsid w:val="00635401"/>
    <w:rsid w:val="00635EC0"/>
    <w:rsid w:val="00640B58"/>
    <w:rsid w:val="00651B02"/>
    <w:rsid w:val="00651B19"/>
    <w:rsid w:val="00660A29"/>
    <w:rsid w:val="006679D5"/>
    <w:rsid w:val="00695519"/>
    <w:rsid w:val="006A4134"/>
    <w:rsid w:val="006A5DDA"/>
    <w:rsid w:val="006A6701"/>
    <w:rsid w:val="006B21F4"/>
    <w:rsid w:val="006B3753"/>
    <w:rsid w:val="006B7AD6"/>
    <w:rsid w:val="006C50FD"/>
    <w:rsid w:val="006C64FB"/>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221C"/>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57A2"/>
    <w:rsid w:val="00927A9F"/>
    <w:rsid w:val="009335CC"/>
    <w:rsid w:val="00935A55"/>
    <w:rsid w:val="00941CEB"/>
    <w:rsid w:val="0094720F"/>
    <w:rsid w:val="00950B0D"/>
    <w:rsid w:val="00953B28"/>
    <w:rsid w:val="00954322"/>
    <w:rsid w:val="00957CAA"/>
    <w:rsid w:val="009676EE"/>
    <w:rsid w:val="0096778A"/>
    <w:rsid w:val="00973BE9"/>
    <w:rsid w:val="00977656"/>
    <w:rsid w:val="009819C1"/>
    <w:rsid w:val="009846A7"/>
    <w:rsid w:val="0098794D"/>
    <w:rsid w:val="0099497B"/>
    <w:rsid w:val="009A43BA"/>
    <w:rsid w:val="009B0D05"/>
    <w:rsid w:val="009B4CA6"/>
    <w:rsid w:val="009B79F8"/>
    <w:rsid w:val="009C66D5"/>
    <w:rsid w:val="009D13FD"/>
    <w:rsid w:val="009D266A"/>
    <w:rsid w:val="009F75D7"/>
    <w:rsid w:val="009F7E07"/>
    <w:rsid w:val="00A01522"/>
    <w:rsid w:val="00A10A11"/>
    <w:rsid w:val="00A13C6A"/>
    <w:rsid w:val="00A17B09"/>
    <w:rsid w:val="00A21CC6"/>
    <w:rsid w:val="00A457C6"/>
    <w:rsid w:val="00A46AD0"/>
    <w:rsid w:val="00A47063"/>
    <w:rsid w:val="00A473A8"/>
    <w:rsid w:val="00A513F0"/>
    <w:rsid w:val="00A61AC8"/>
    <w:rsid w:val="00A6366F"/>
    <w:rsid w:val="00A65D4C"/>
    <w:rsid w:val="00A70512"/>
    <w:rsid w:val="00A75C19"/>
    <w:rsid w:val="00AA1F60"/>
    <w:rsid w:val="00AA40D7"/>
    <w:rsid w:val="00AA496B"/>
    <w:rsid w:val="00AB5F7D"/>
    <w:rsid w:val="00AC0C50"/>
    <w:rsid w:val="00AC6FE2"/>
    <w:rsid w:val="00AE1964"/>
    <w:rsid w:val="00AE6C20"/>
    <w:rsid w:val="00AF1D53"/>
    <w:rsid w:val="00AF3925"/>
    <w:rsid w:val="00B1296B"/>
    <w:rsid w:val="00B15F87"/>
    <w:rsid w:val="00B2292F"/>
    <w:rsid w:val="00B22986"/>
    <w:rsid w:val="00B43169"/>
    <w:rsid w:val="00B501A8"/>
    <w:rsid w:val="00B55AE4"/>
    <w:rsid w:val="00B70B46"/>
    <w:rsid w:val="00B739B0"/>
    <w:rsid w:val="00B814A3"/>
    <w:rsid w:val="00B85904"/>
    <w:rsid w:val="00B96F38"/>
    <w:rsid w:val="00BC716B"/>
    <w:rsid w:val="00BD0E74"/>
    <w:rsid w:val="00BD5F8C"/>
    <w:rsid w:val="00BE29DD"/>
    <w:rsid w:val="00BE5C44"/>
    <w:rsid w:val="00C066AF"/>
    <w:rsid w:val="00C10E06"/>
    <w:rsid w:val="00C145B8"/>
    <w:rsid w:val="00C2438F"/>
    <w:rsid w:val="00C31AF0"/>
    <w:rsid w:val="00C32A7E"/>
    <w:rsid w:val="00C34F28"/>
    <w:rsid w:val="00C368DF"/>
    <w:rsid w:val="00C442C5"/>
    <w:rsid w:val="00C57B5C"/>
    <w:rsid w:val="00C57C7C"/>
    <w:rsid w:val="00C61049"/>
    <w:rsid w:val="00C63FFE"/>
    <w:rsid w:val="00C66ADE"/>
    <w:rsid w:val="00C91EB6"/>
    <w:rsid w:val="00CA10B0"/>
    <w:rsid w:val="00CA2F8E"/>
    <w:rsid w:val="00CA3EE2"/>
    <w:rsid w:val="00CA7FD5"/>
    <w:rsid w:val="00CB3287"/>
    <w:rsid w:val="00CB33E2"/>
    <w:rsid w:val="00CB4E68"/>
    <w:rsid w:val="00CC2733"/>
    <w:rsid w:val="00CD0050"/>
    <w:rsid w:val="00CE4AB1"/>
    <w:rsid w:val="00CE7481"/>
    <w:rsid w:val="00CF0A8F"/>
    <w:rsid w:val="00D048CE"/>
    <w:rsid w:val="00D10998"/>
    <w:rsid w:val="00D158FA"/>
    <w:rsid w:val="00D15CBD"/>
    <w:rsid w:val="00D221CB"/>
    <w:rsid w:val="00D22996"/>
    <w:rsid w:val="00D23391"/>
    <w:rsid w:val="00D248BC"/>
    <w:rsid w:val="00D31805"/>
    <w:rsid w:val="00D552B9"/>
    <w:rsid w:val="00D735B2"/>
    <w:rsid w:val="00D74021"/>
    <w:rsid w:val="00D76D01"/>
    <w:rsid w:val="00D80376"/>
    <w:rsid w:val="00D840E3"/>
    <w:rsid w:val="00D922A9"/>
    <w:rsid w:val="00D9394A"/>
    <w:rsid w:val="00DB0CBB"/>
    <w:rsid w:val="00DB67CC"/>
    <w:rsid w:val="00DC3319"/>
    <w:rsid w:val="00DC3783"/>
    <w:rsid w:val="00DD09DB"/>
    <w:rsid w:val="00DE1070"/>
    <w:rsid w:val="00DF64D2"/>
    <w:rsid w:val="00E00219"/>
    <w:rsid w:val="00E0316B"/>
    <w:rsid w:val="00E14178"/>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1FDB"/>
    <w:rsid w:val="00ED5F38"/>
    <w:rsid w:val="00EF27FE"/>
    <w:rsid w:val="00EF4708"/>
    <w:rsid w:val="00F07FB6"/>
    <w:rsid w:val="00F149D0"/>
    <w:rsid w:val="00F16B53"/>
    <w:rsid w:val="00F25ECD"/>
    <w:rsid w:val="00F318BE"/>
    <w:rsid w:val="00F33297"/>
    <w:rsid w:val="00F343FB"/>
    <w:rsid w:val="00F358AB"/>
    <w:rsid w:val="00F359FE"/>
    <w:rsid w:val="00F42159"/>
    <w:rsid w:val="00F4256E"/>
    <w:rsid w:val="00F42EE1"/>
    <w:rsid w:val="00F437BD"/>
    <w:rsid w:val="00F60F1F"/>
    <w:rsid w:val="00F64141"/>
    <w:rsid w:val="00F67508"/>
    <w:rsid w:val="00F700DC"/>
    <w:rsid w:val="00F71FC9"/>
    <w:rsid w:val="00F73B48"/>
    <w:rsid w:val="00F74F51"/>
    <w:rsid w:val="00F842AD"/>
    <w:rsid w:val="00F914EB"/>
    <w:rsid w:val="00F91B85"/>
    <w:rsid w:val="00F938E7"/>
    <w:rsid w:val="00FA3B17"/>
    <w:rsid w:val="00FA4A33"/>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5/431/&#1589;&#1575;&#1581;&#1576;" TargetMode="External"/><Relationship Id="rId2" Type="http://schemas.openxmlformats.org/officeDocument/2006/relationships/hyperlink" Target="http://lib.eshia.ir/11025/26/216/&#1575;&#1587;&#1578;&#1608;&#1604;&#1740;" TargetMode="External"/><Relationship Id="rId1" Type="http://schemas.openxmlformats.org/officeDocument/2006/relationships/hyperlink" Target="http://lib.eshia.ir/10153/17/341/&#1575;&#1604;&#1585;&#1575;&#1576;&#1593;" TargetMode="External"/><Relationship Id="rId6" Type="http://schemas.openxmlformats.org/officeDocument/2006/relationships/hyperlink" Target="http://lib.eshia.ir/11025/3/491/&#1575;&#1604;&#1740;&#1605;&#1575;&#1606;&#1740;" TargetMode="External"/><Relationship Id="rId5" Type="http://schemas.openxmlformats.org/officeDocument/2006/relationships/hyperlink" Target="http://lib.eshia.ir/11025/3/490/&#1575;&#1604;&#1582;&#1601;&#1575;&#1601;" TargetMode="External"/><Relationship Id="rId4" Type="http://schemas.openxmlformats.org/officeDocument/2006/relationships/hyperlink" Target="http://lib.eshia.ir/10153/17/342/&#1575;&#1604;&#1585;&#1581;&#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7905-6808-4FAC-9850-DA34DB2D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344</TotalTime>
  <Pages>1</Pages>
  <Words>1114</Words>
  <Characters>6350</Characters>
  <Application>Microsoft Office Word</Application>
  <DocSecurity>0</DocSecurity>
  <Lines>52</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7450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33</cp:revision>
  <dcterms:created xsi:type="dcterms:W3CDTF">2019-02-18T04:50:00Z</dcterms:created>
  <dcterms:modified xsi:type="dcterms:W3CDTF">2019-02-19T18:20:00Z</dcterms:modified>
  <cp:contentStatus>ویرایش 2.5</cp:contentStatus>
  <cp:version>2.7</cp:version>
</cp:coreProperties>
</file>