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30AE" w:rsidRPr="00C318F2" w:rsidRDefault="003A4F8E" w:rsidP="00C318F2">
      <w:pPr>
        <w:pStyle w:val="a4"/>
        <w:jc w:val="highKashida"/>
        <w:rPr>
          <w:rFonts w:ascii="Al Nile" w:eastAsia="Al Nile" w:hAnsi="Al Nile" w:cs="Taher" w:hint="default"/>
          <w:sz w:val="36"/>
          <w:szCs w:val="36"/>
          <w:shd w:val="clear" w:color="auto" w:fill="FEFFFE"/>
          <w:rtl/>
        </w:rPr>
      </w:pPr>
      <w:r w:rsidRPr="00C318F2">
        <w:rPr>
          <w:rFonts w:cs="Taher"/>
          <w:sz w:val="36"/>
          <w:szCs w:val="36"/>
          <w:shd w:val="clear" w:color="auto" w:fill="FEFFFE"/>
          <w:rtl/>
        </w:rPr>
        <w:t>الدرس٧٣ تاريخ</w:t>
      </w:r>
      <w:r w:rsidR="001B5DEB" w:rsidRPr="00C318F2">
        <w:rPr>
          <w:rFonts w:cs="Taher"/>
          <w:sz w:val="36"/>
          <w:szCs w:val="36"/>
          <w:shd w:val="clear" w:color="auto" w:fill="FEFFFE"/>
          <w:rtl/>
        </w:rPr>
        <w:t xml:space="preserve"> </w:t>
      </w:r>
      <w:r w:rsidRPr="00C318F2">
        <w:rPr>
          <w:rFonts w:ascii="Al Nile" w:hAnsi="Al Nile" w:cs="Taher"/>
          <w:sz w:val="36"/>
          <w:szCs w:val="36"/>
          <w:shd w:val="clear" w:color="auto" w:fill="FEFFFE"/>
          <w:rtl/>
        </w:rPr>
        <w:t xml:space="preserve"> </w:t>
      </w:r>
      <w:r w:rsidR="001B5DEB" w:rsidRPr="00C318F2">
        <w:rPr>
          <w:rFonts w:cs="Taher"/>
          <w:sz w:val="36"/>
          <w:szCs w:val="36"/>
          <w:shd w:val="clear" w:color="auto" w:fill="FEFFFE"/>
          <w:rtl/>
        </w:rPr>
        <w:t>10/11/97</w:t>
      </w:r>
    </w:p>
    <w:p w:rsidR="007830AE" w:rsidRPr="00C318F2" w:rsidRDefault="003A4F8E" w:rsidP="00C318F2">
      <w:pPr>
        <w:pStyle w:val="a4"/>
        <w:jc w:val="highKashida"/>
        <w:rPr>
          <w:rFonts w:ascii="Al Nile" w:eastAsia="Al Nile" w:hAnsi="Al Nile" w:cs="Taher" w:hint="default"/>
          <w:sz w:val="36"/>
          <w:szCs w:val="36"/>
          <w:shd w:val="clear" w:color="auto" w:fill="FEFFFE"/>
          <w:rtl/>
        </w:rPr>
      </w:pPr>
      <w:r w:rsidRPr="00C318F2">
        <w:rPr>
          <w:rFonts w:cs="Taher"/>
          <w:sz w:val="36"/>
          <w:szCs w:val="36"/>
          <w:shd w:val="clear" w:color="auto" w:fill="FEFFFE"/>
          <w:rtl/>
        </w:rPr>
        <w:t>وصل الكلام إلى الاستدلال برواية صحيحة عثمان بن عيسى وحماد بن عثمان على قاعدة اليد</w:t>
      </w:r>
      <w:r w:rsidRPr="00C318F2">
        <w:rPr>
          <w:rFonts w:ascii="Al Nile" w:hAnsi="Al Nile" w:cs="Taher"/>
          <w:sz w:val="36"/>
          <w:szCs w:val="36"/>
          <w:shd w:val="clear" w:color="auto" w:fill="FEFFFE"/>
          <w:rtl/>
        </w:rPr>
        <w:t>.</w:t>
      </w:r>
    </w:p>
    <w:p w:rsidR="007830AE" w:rsidRPr="00C318F2" w:rsidRDefault="001B5DEB" w:rsidP="00C318F2">
      <w:pPr>
        <w:pStyle w:val="a4"/>
        <w:jc w:val="highKashida"/>
        <w:rPr>
          <w:rFonts w:ascii="Al Nile" w:eastAsia="Al Nile" w:hAnsi="Al Nile" w:cs="Taher" w:hint="default"/>
          <w:sz w:val="36"/>
          <w:szCs w:val="36"/>
          <w:shd w:val="clear" w:color="auto" w:fill="FEFFFE"/>
          <w:rtl/>
        </w:rPr>
      </w:pPr>
      <w:r w:rsidRPr="00C318F2">
        <w:rPr>
          <w:rFonts w:cs="Taher"/>
          <w:sz w:val="36"/>
          <w:szCs w:val="36"/>
          <w:shd w:val="clear" w:color="auto" w:fill="FEFFFE"/>
          <w:rtl/>
        </w:rPr>
        <w:t>وقداست</w:t>
      </w:r>
      <w:r w:rsidR="003A4F8E" w:rsidRPr="00C318F2">
        <w:rPr>
          <w:rFonts w:cs="Taher"/>
          <w:sz w:val="36"/>
          <w:szCs w:val="36"/>
          <w:shd w:val="clear" w:color="auto" w:fill="FEFFFE"/>
          <w:rtl/>
        </w:rPr>
        <w:t xml:space="preserve">شكل </w:t>
      </w:r>
      <w:r w:rsidRPr="00C318F2">
        <w:rPr>
          <w:rFonts w:cs="Taher"/>
          <w:sz w:val="36"/>
          <w:szCs w:val="36"/>
          <w:shd w:val="clear" w:color="auto" w:fill="FEFFFE"/>
          <w:rtl/>
        </w:rPr>
        <w:t>في</w:t>
      </w:r>
      <w:r w:rsidR="003A4F8E" w:rsidRPr="00C318F2">
        <w:rPr>
          <w:rFonts w:cs="Taher"/>
          <w:sz w:val="36"/>
          <w:szCs w:val="36"/>
          <w:shd w:val="clear" w:color="auto" w:fill="FEFFFE"/>
          <w:rtl/>
        </w:rPr>
        <w:t xml:space="preserve"> دلالتها </w:t>
      </w:r>
      <w:r w:rsidRPr="00C318F2">
        <w:rPr>
          <w:rFonts w:cs="Taher"/>
          <w:sz w:val="36"/>
          <w:szCs w:val="36"/>
          <w:shd w:val="clear" w:color="auto" w:fill="FEFFFE"/>
          <w:rtl/>
        </w:rPr>
        <w:t xml:space="preserve"> علی حجية اليدعلی الملکية بوجهين :</w:t>
      </w:r>
      <w:r w:rsidR="003A4F8E" w:rsidRPr="00C318F2">
        <w:rPr>
          <w:rFonts w:cs="Taher"/>
          <w:sz w:val="36"/>
          <w:szCs w:val="36"/>
          <w:shd w:val="clear" w:color="auto" w:fill="FEFFFE"/>
          <w:rtl/>
        </w:rPr>
        <w:t>بعض الأعلام في المنتقى بإشكالين</w:t>
      </w:r>
      <w:r w:rsidR="003A4F8E" w:rsidRPr="00C318F2">
        <w:rPr>
          <w:rFonts w:ascii="Al Nile" w:hAnsi="Al Nile" w:cs="Taher"/>
          <w:sz w:val="36"/>
          <w:szCs w:val="36"/>
          <w:shd w:val="clear" w:color="auto" w:fill="FEFFFE"/>
          <w:rtl/>
        </w:rPr>
        <w:t>:</w:t>
      </w:r>
    </w:p>
    <w:p w:rsidR="007830AE" w:rsidRPr="00C318F2" w:rsidRDefault="003A4F8E" w:rsidP="00C318F2">
      <w:pPr>
        <w:pStyle w:val="a4"/>
        <w:jc w:val="highKashida"/>
        <w:rPr>
          <w:rFonts w:ascii="Al Nile" w:eastAsia="Al Nile" w:hAnsi="Al Nile" w:cs="Taher" w:hint="default"/>
          <w:sz w:val="36"/>
          <w:szCs w:val="36"/>
          <w:shd w:val="clear" w:color="auto" w:fill="FEFFFE"/>
          <w:rtl/>
        </w:rPr>
      </w:pPr>
      <w:r w:rsidRPr="00C318F2">
        <w:rPr>
          <w:rFonts w:cs="Taher"/>
          <w:sz w:val="36"/>
          <w:szCs w:val="36"/>
          <w:shd w:val="clear" w:color="auto" w:fill="FEFFFE"/>
          <w:rtl/>
        </w:rPr>
        <w:t>الأول</w:t>
      </w:r>
      <w:r w:rsidRPr="00C318F2">
        <w:rPr>
          <w:rFonts w:ascii="Al Nile" w:hAnsi="Al Nile" w:cs="Taher"/>
          <w:sz w:val="36"/>
          <w:szCs w:val="36"/>
          <w:shd w:val="clear" w:color="auto" w:fill="FEFFFE"/>
          <w:rtl/>
        </w:rPr>
        <w:t xml:space="preserve">: </w:t>
      </w:r>
      <w:r w:rsidR="001B5DEB" w:rsidRPr="00C318F2">
        <w:rPr>
          <w:rFonts w:ascii="Al Nile" w:hAnsi="Al Nile" w:cs="Taher"/>
          <w:sz w:val="36"/>
          <w:szCs w:val="36"/>
          <w:shd w:val="clear" w:color="auto" w:fill="FEFFFE"/>
          <w:rtl/>
        </w:rPr>
        <w:t xml:space="preserve">ماذکره بعض الاعلام في المنتقی من </w:t>
      </w:r>
      <w:r w:rsidRPr="00C318F2">
        <w:rPr>
          <w:rFonts w:cs="Taher"/>
          <w:sz w:val="36"/>
          <w:szCs w:val="36"/>
          <w:shd w:val="clear" w:color="auto" w:fill="FEFFFE"/>
          <w:rtl/>
        </w:rPr>
        <w:t xml:space="preserve">أن الرواية </w:t>
      </w:r>
      <w:r w:rsidR="001B5DEB" w:rsidRPr="00C318F2">
        <w:rPr>
          <w:rFonts w:cs="Taher"/>
          <w:sz w:val="36"/>
          <w:szCs w:val="36"/>
          <w:shd w:val="clear" w:color="auto" w:fill="FEFFFE"/>
          <w:rtl/>
        </w:rPr>
        <w:t xml:space="preserve">انما </w:t>
      </w:r>
      <w:r w:rsidRPr="00C318F2">
        <w:rPr>
          <w:rFonts w:cs="Taher"/>
          <w:sz w:val="36"/>
          <w:szCs w:val="36"/>
          <w:shd w:val="clear" w:color="auto" w:fill="FEFFFE"/>
          <w:rtl/>
        </w:rPr>
        <w:t>تدل على أن المطالب بالبينة هو المدعي</w:t>
      </w:r>
      <w:r w:rsidR="001B5DEB" w:rsidRPr="00C318F2">
        <w:rPr>
          <w:rFonts w:cs="Taher"/>
          <w:sz w:val="36"/>
          <w:szCs w:val="36"/>
          <w:shd w:val="clear" w:color="auto" w:fill="FEFFFE"/>
          <w:rtl/>
        </w:rPr>
        <w:t xml:space="preserve"> ولايطالب المنکربالبينة </w:t>
      </w:r>
      <w:r w:rsidRPr="00C318F2">
        <w:rPr>
          <w:rFonts w:cs="Taher"/>
          <w:sz w:val="36"/>
          <w:szCs w:val="36"/>
          <w:shd w:val="clear" w:color="auto" w:fill="FEFFFE"/>
          <w:rtl/>
        </w:rPr>
        <w:t xml:space="preserve"> و</w:t>
      </w:r>
      <w:r w:rsidRPr="00C318F2">
        <w:rPr>
          <w:rFonts w:cs="Taher"/>
          <w:sz w:val="36"/>
          <w:szCs w:val="36"/>
          <w:shd w:val="clear" w:color="auto" w:fill="FEFFFE"/>
          <w:rtl/>
        </w:rPr>
        <w:t>لا دلالة لها على أن اليد دليل الملكية</w:t>
      </w:r>
      <w:r w:rsidRPr="00C318F2">
        <w:rPr>
          <w:rFonts w:ascii="Al Nile" w:hAnsi="Al Nile" w:cs="Taher"/>
          <w:sz w:val="36"/>
          <w:szCs w:val="36"/>
          <w:shd w:val="clear" w:color="auto" w:fill="FEFFFE"/>
          <w:rtl/>
        </w:rPr>
        <w:t>.</w:t>
      </w:r>
    </w:p>
    <w:p w:rsidR="007830AE" w:rsidRPr="00C318F2" w:rsidRDefault="003A4F8E" w:rsidP="00C318F2">
      <w:pPr>
        <w:pStyle w:val="a4"/>
        <w:jc w:val="highKashida"/>
        <w:rPr>
          <w:rFonts w:ascii="Al Nile" w:eastAsia="Al Nile" w:hAnsi="Al Nile" w:cs="Taher" w:hint="default"/>
          <w:sz w:val="36"/>
          <w:szCs w:val="36"/>
          <w:shd w:val="clear" w:color="auto" w:fill="FEFFFE"/>
          <w:rtl/>
        </w:rPr>
      </w:pPr>
      <w:r w:rsidRPr="00C318F2">
        <w:rPr>
          <w:rFonts w:cs="Taher"/>
          <w:sz w:val="36"/>
          <w:szCs w:val="36"/>
          <w:shd w:val="clear" w:color="auto" w:fill="FEFFFE"/>
          <w:rtl/>
        </w:rPr>
        <w:t xml:space="preserve">نعم لو كان المراد من المنكر من له الحجة والمراد من المدعي من عليه الحجة دلت الرواية على ما ذكر ولكن المشهور أن المدعي من تَرَكَ تُرِكَ بمعنى أنه إذا ترك دعواه ارتفع النزاع وبقي كل شيء في محله فبناءً على هذا التعريف أيضاً يكون الإمام عليه السلام منكراً لأن </w:t>
      </w:r>
      <w:r w:rsidRPr="00C318F2">
        <w:rPr>
          <w:rFonts w:cs="Taher"/>
          <w:sz w:val="36"/>
          <w:szCs w:val="36"/>
          <w:shd w:val="clear" w:color="auto" w:fill="FEFFFE"/>
          <w:rtl/>
        </w:rPr>
        <w:t>فدك كان بيده ولو ترك الطرف المقابل دعواه لارتفع النزاع وبقي فدك في يد الإمام عليه السلام</w:t>
      </w:r>
      <w:r w:rsidRPr="00C318F2">
        <w:rPr>
          <w:rFonts w:ascii="Al Nile" w:hAnsi="Al Nile" w:cs="Taher"/>
          <w:sz w:val="36"/>
          <w:szCs w:val="36"/>
          <w:shd w:val="clear" w:color="auto" w:fill="FEFFFE"/>
          <w:rtl/>
        </w:rPr>
        <w:t>.</w:t>
      </w:r>
    </w:p>
    <w:p w:rsidR="007830AE" w:rsidRPr="00C318F2" w:rsidRDefault="003A4F8E" w:rsidP="00C318F2">
      <w:pPr>
        <w:pStyle w:val="a4"/>
        <w:jc w:val="highKashida"/>
        <w:rPr>
          <w:rFonts w:ascii="Al Nile" w:eastAsia="Al Nile" w:hAnsi="Al Nile" w:cs="Taher" w:hint="default"/>
          <w:sz w:val="36"/>
          <w:szCs w:val="36"/>
          <w:shd w:val="clear" w:color="auto" w:fill="FEFFFE"/>
          <w:rtl/>
        </w:rPr>
      </w:pPr>
      <w:r w:rsidRPr="00C318F2">
        <w:rPr>
          <w:rFonts w:cs="Taher"/>
          <w:sz w:val="36"/>
          <w:szCs w:val="36"/>
          <w:shd w:val="clear" w:color="auto" w:fill="FEFFFE"/>
          <w:rtl/>
        </w:rPr>
        <w:t>فكون الإمام عليه السلام منكراً لا يدل على حجية اليد</w:t>
      </w:r>
      <w:r w:rsidRPr="00C318F2">
        <w:rPr>
          <w:rFonts w:ascii="Al Nile" w:hAnsi="Al Nile" w:cs="Taher"/>
          <w:sz w:val="36"/>
          <w:szCs w:val="36"/>
          <w:shd w:val="clear" w:color="auto" w:fill="FEFFFE"/>
          <w:rtl/>
        </w:rPr>
        <w:t>.</w:t>
      </w:r>
    </w:p>
    <w:p w:rsidR="007830AE" w:rsidRPr="00C318F2" w:rsidRDefault="003A4F8E" w:rsidP="00C318F2">
      <w:pPr>
        <w:pStyle w:val="a4"/>
        <w:jc w:val="highKashida"/>
        <w:rPr>
          <w:rFonts w:ascii="Al Nile" w:eastAsia="Al Nile" w:hAnsi="Al Nile" w:cs="Taher" w:hint="default"/>
          <w:sz w:val="36"/>
          <w:szCs w:val="36"/>
          <w:shd w:val="clear" w:color="auto" w:fill="FEFFFE"/>
          <w:rtl/>
        </w:rPr>
      </w:pPr>
      <w:r w:rsidRPr="00C318F2">
        <w:rPr>
          <w:rFonts w:cs="Taher"/>
          <w:sz w:val="36"/>
          <w:szCs w:val="36"/>
          <w:shd w:val="clear" w:color="auto" w:fill="FEFFFE"/>
          <w:rtl/>
        </w:rPr>
        <w:t xml:space="preserve">ويلاحظ عليه أن </w:t>
      </w:r>
      <w:r w:rsidR="001B5DEB" w:rsidRPr="00C318F2">
        <w:rPr>
          <w:rFonts w:cs="Taher"/>
          <w:sz w:val="36"/>
          <w:szCs w:val="36"/>
          <w:shd w:val="clear" w:color="auto" w:fill="FEFFFE"/>
          <w:rtl/>
        </w:rPr>
        <w:t>التعريف</w:t>
      </w:r>
      <w:r w:rsidRPr="00C318F2">
        <w:rPr>
          <w:rFonts w:cs="Taher"/>
          <w:sz w:val="36"/>
          <w:szCs w:val="36"/>
          <w:shd w:val="clear" w:color="auto" w:fill="FEFFFE"/>
          <w:rtl/>
        </w:rPr>
        <w:t xml:space="preserve"> المشهور </w:t>
      </w:r>
      <w:r w:rsidR="001B5DEB" w:rsidRPr="00C318F2">
        <w:rPr>
          <w:rFonts w:cs="Taher"/>
          <w:sz w:val="36"/>
          <w:szCs w:val="36"/>
          <w:shd w:val="clear" w:color="auto" w:fill="FEFFFE"/>
          <w:rtl/>
        </w:rPr>
        <w:t>ل</w:t>
      </w:r>
      <w:r w:rsidRPr="00C318F2">
        <w:rPr>
          <w:rFonts w:cs="Taher"/>
          <w:sz w:val="36"/>
          <w:szCs w:val="36"/>
          <w:shd w:val="clear" w:color="auto" w:fill="FEFFFE"/>
          <w:rtl/>
        </w:rPr>
        <w:t xml:space="preserve">لمدعى والمنكر </w:t>
      </w:r>
      <w:r w:rsidR="001B5DEB" w:rsidRPr="00C318F2">
        <w:rPr>
          <w:rFonts w:cs="Taher"/>
          <w:sz w:val="36"/>
          <w:szCs w:val="36"/>
          <w:shd w:val="clear" w:color="auto" w:fill="FEFFFE"/>
          <w:rtl/>
        </w:rPr>
        <w:t xml:space="preserve">بماذکر </w:t>
      </w:r>
      <w:r w:rsidRPr="00C318F2">
        <w:rPr>
          <w:rFonts w:cs="Taher"/>
          <w:sz w:val="36"/>
          <w:szCs w:val="36"/>
          <w:shd w:val="clear" w:color="auto" w:fill="FEFFFE"/>
          <w:rtl/>
        </w:rPr>
        <w:t>ليس صحيحاً لما ذكر في باب القضاء وبالمناسبة في بعض الأبواب ال</w:t>
      </w:r>
      <w:r w:rsidRPr="00C318F2">
        <w:rPr>
          <w:rFonts w:cs="Taher"/>
          <w:sz w:val="36"/>
          <w:szCs w:val="36"/>
          <w:shd w:val="clear" w:color="auto" w:fill="FEFFFE"/>
          <w:rtl/>
        </w:rPr>
        <w:t>أخرى كالإجارة والمضاربة في كلمات السيد الحكيم والسيد الخوئي قدس سرهما من أنه بعد عدم نص في تشخيص المدعي والمنكر يكون المرجع هو العرف والمتفاهم العرفي ما تقدم من أن المراد بالمنكر من له الحجة والمراد بالمدعي من عليه الحجة</w:t>
      </w:r>
      <w:r w:rsidRPr="00C318F2">
        <w:rPr>
          <w:rFonts w:ascii="Al Nile" w:hAnsi="Al Nile" w:cs="Taher"/>
          <w:sz w:val="36"/>
          <w:szCs w:val="36"/>
          <w:shd w:val="clear" w:color="auto" w:fill="FEFFFE"/>
          <w:rtl/>
        </w:rPr>
        <w:t>.</w:t>
      </w:r>
    </w:p>
    <w:p w:rsidR="007830AE" w:rsidRPr="00C318F2" w:rsidRDefault="003A4F8E" w:rsidP="00C318F2">
      <w:pPr>
        <w:pStyle w:val="a4"/>
        <w:jc w:val="highKashida"/>
        <w:rPr>
          <w:rFonts w:ascii="Al Nile" w:eastAsia="Al Nile" w:hAnsi="Al Nile" w:cs="Taher" w:hint="default"/>
          <w:sz w:val="36"/>
          <w:szCs w:val="36"/>
          <w:shd w:val="clear" w:color="auto" w:fill="FEFFFE"/>
          <w:rtl/>
        </w:rPr>
      </w:pPr>
      <w:r w:rsidRPr="00C318F2">
        <w:rPr>
          <w:rFonts w:cs="Taher"/>
          <w:sz w:val="36"/>
          <w:szCs w:val="36"/>
          <w:shd w:val="clear" w:color="auto" w:fill="FEFFFE"/>
          <w:rtl/>
        </w:rPr>
        <w:t xml:space="preserve">وهناك موارد يرى المشهور كون الشخص </w:t>
      </w:r>
      <w:r w:rsidRPr="00C318F2">
        <w:rPr>
          <w:rFonts w:cs="Taher"/>
          <w:sz w:val="36"/>
          <w:szCs w:val="36"/>
          <w:shd w:val="clear" w:color="auto" w:fill="FEFFFE"/>
          <w:rtl/>
        </w:rPr>
        <w:t>مدعياً مع أنه لا يصدق عليه أنه من ترك ترك كما إذا أقرض زيد عمراً مالاً فيقول عمرو</w:t>
      </w:r>
      <w:r w:rsidRPr="00C318F2">
        <w:rPr>
          <w:rFonts w:ascii="Al Nile" w:hAnsi="Al Nile" w:cs="Taher"/>
          <w:sz w:val="36"/>
          <w:szCs w:val="36"/>
          <w:shd w:val="clear" w:color="auto" w:fill="FEFFFE"/>
          <w:rtl/>
        </w:rPr>
        <w:t>: (</w:t>
      </w:r>
      <w:r w:rsidRPr="00C318F2">
        <w:rPr>
          <w:rFonts w:cs="Taher"/>
          <w:sz w:val="36"/>
          <w:szCs w:val="36"/>
          <w:shd w:val="clear" w:color="auto" w:fill="FEFFFE"/>
          <w:rtl/>
        </w:rPr>
        <w:t xml:space="preserve">إني أدىت </w:t>
      </w:r>
      <w:r w:rsidRPr="00C318F2">
        <w:rPr>
          <w:rFonts w:cs="Taher"/>
          <w:sz w:val="36"/>
          <w:szCs w:val="36"/>
          <w:shd w:val="clear" w:color="auto" w:fill="FEFFFE"/>
          <w:rtl/>
        </w:rPr>
        <w:lastRenderedPageBreak/>
        <w:t>الدين</w:t>
      </w:r>
      <w:r w:rsidRPr="00C318F2">
        <w:rPr>
          <w:rFonts w:ascii="Al Nile" w:hAnsi="Al Nile" w:cs="Taher"/>
          <w:sz w:val="36"/>
          <w:szCs w:val="36"/>
          <w:shd w:val="clear" w:color="auto" w:fill="FEFFFE"/>
          <w:rtl/>
        </w:rPr>
        <w:t xml:space="preserve">) </w:t>
      </w:r>
      <w:r w:rsidRPr="00C318F2">
        <w:rPr>
          <w:rFonts w:cs="Taher"/>
          <w:sz w:val="36"/>
          <w:szCs w:val="36"/>
          <w:shd w:val="clear" w:color="auto" w:fill="FEFFFE"/>
          <w:rtl/>
        </w:rPr>
        <w:t>ويقول زيد</w:t>
      </w:r>
      <w:r w:rsidRPr="00C318F2">
        <w:rPr>
          <w:rFonts w:ascii="Al Nile" w:hAnsi="Al Nile" w:cs="Taher"/>
          <w:sz w:val="36"/>
          <w:szCs w:val="36"/>
          <w:shd w:val="clear" w:color="auto" w:fill="FEFFFE"/>
          <w:rtl/>
        </w:rPr>
        <w:t>: (</w:t>
      </w:r>
      <w:r w:rsidRPr="00C318F2">
        <w:rPr>
          <w:rFonts w:cs="Taher"/>
          <w:sz w:val="36"/>
          <w:szCs w:val="36"/>
          <w:shd w:val="clear" w:color="auto" w:fill="FEFFFE"/>
          <w:rtl/>
        </w:rPr>
        <w:t>لم تؤده</w:t>
      </w:r>
      <w:r w:rsidRPr="00C318F2">
        <w:rPr>
          <w:rFonts w:ascii="Al Nile" w:hAnsi="Al Nile" w:cs="Taher"/>
          <w:sz w:val="36"/>
          <w:szCs w:val="36"/>
          <w:shd w:val="clear" w:color="auto" w:fill="FEFFFE"/>
          <w:rtl/>
        </w:rPr>
        <w:t xml:space="preserve">) </w:t>
      </w:r>
      <w:r w:rsidRPr="00C318F2">
        <w:rPr>
          <w:rFonts w:cs="Taher"/>
          <w:sz w:val="36"/>
          <w:szCs w:val="36"/>
          <w:shd w:val="clear" w:color="auto" w:fill="FEFFFE"/>
          <w:rtl/>
        </w:rPr>
        <w:t>فتنازعا وعلى تعريف المشهور من ترك ترك هو المقرض بينما لا إشكال في أن المدعى هو المقترض</w:t>
      </w:r>
      <w:r w:rsidRPr="00C318F2">
        <w:rPr>
          <w:rFonts w:ascii="Al Nile" w:hAnsi="Al Nile" w:cs="Taher"/>
          <w:sz w:val="36"/>
          <w:szCs w:val="36"/>
          <w:shd w:val="clear" w:color="auto" w:fill="FEFFFE"/>
          <w:rtl/>
        </w:rPr>
        <w:t>.</w:t>
      </w:r>
    </w:p>
    <w:p w:rsidR="007830AE" w:rsidRPr="00C318F2" w:rsidRDefault="003A4F8E" w:rsidP="00C318F2">
      <w:pPr>
        <w:pStyle w:val="a4"/>
        <w:jc w:val="highKashida"/>
        <w:rPr>
          <w:rFonts w:ascii="Al Nile" w:eastAsia="Al Nile" w:hAnsi="Al Nile" w:cs="Taher" w:hint="default"/>
          <w:sz w:val="36"/>
          <w:szCs w:val="36"/>
          <w:shd w:val="clear" w:color="auto" w:fill="FEFFFE"/>
          <w:rtl/>
        </w:rPr>
      </w:pPr>
      <w:r w:rsidRPr="00C318F2">
        <w:rPr>
          <w:rFonts w:cs="Taher"/>
          <w:sz w:val="36"/>
          <w:szCs w:val="36"/>
          <w:shd w:val="clear" w:color="auto" w:fill="FEFFFE"/>
          <w:rtl/>
        </w:rPr>
        <w:t>فلذا أفاد السيد الحكيم قدس سره في بحث الإجارة أ</w:t>
      </w:r>
      <w:r w:rsidRPr="00C318F2">
        <w:rPr>
          <w:rFonts w:cs="Taher"/>
          <w:sz w:val="36"/>
          <w:szCs w:val="36"/>
          <w:shd w:val="clear" w:color="auto" w:fill="FEFFFE"/>
          <w:rtl/>
        </w:rPr>
        <w:t xml:space="preserve">نه قد اختلفت التعابير في تعريف المدعي فقال بعض أنه من ترك الخصومة ترك، وقال بعض آخر أنه من يخالف قوله الظاهر، وقال بعض آخر أنه من يدعى أمراً خفياً وغير ذلك من التعاريف ولكن لهذه التعاريف لوازم لا يلتزم بها هؤلاء القائلون والتعريف الصحيح أن المدعي من يخالف </w:t>
      </w:r>
      <w:r w:rsidRPr="00C318F2">
        <w:rPr>
          <w:rFonts w:cs="Taher"/>
          <w:sz w:val="36"/>
          <w:szCs w:val="36"/>
          <w:shd w:val="clear" w:color="auto" w:fill="FEFFFE"/>
          <w:rtl/>
        </w:rPr>
        <w:t>قوله الحجة والوجه فيه أن المدعي في رواية</w:t>
      </w:r>
      <w:r w:rsidRPr="00C318F2">
        <w:rPr>
          <w:rFonts w:ascii="Al Nile" w:hAnsi="Al Nile" w:cs="Taher"/>
          <w:sz w:val="36"/>
          <w:szCs w:val="36"/>
          <w:shd w:val="clear" w:color="auto" w:fill="FEFFFE"/>
          <w:rtl/>
        </w:rPr>
        <w:t>: (</w:t>
      </w:r>
      <w:r w:rsidRPr="00C318F2">
        <w:rPr>
          <w:rFonts w:cs="Taher"/>
          <w:sz w:val="36"/>
          <w:szCs w:val="36"/>
          <w:shd w:val="clear" w:color="auto" w:fill="FEFFFE"/>
          <w:rtl/>
        </w:rPr>
        <w:t>البينة على المدعي</w:t>
      </w:r>
      <w:r w:rsidRPr="00C318F2">
        <w:rPr>
          <w:rFonts w:ascii="Al Nile" w:hAnsi="Al Nile" w:cs="Taher"/>
          <w:sz w:val="36"/>
          <w:szCs w:val="36"/>
          <w:shd w:val="clear" w:color="auto" w:fill="FEFFFE"/>
          <w:rtl/>
        </w:rPr>
        <w:t xml:space="preserve">) </w:t>
      </w:r>
      <w:r w:rsidRPr="00C318F2">
        <w:rPr>
          <w:rFonts w:cs="Taher"/>
          <w:sz w:val="36"/>
          <w:szCs w:val="36"/>
          <w:shd w:val="clear" w:color="auto" w:fill="FEFFFE"/>
          <w:rtl/>
        </w:rPr>
        <w:t>من الادعاء وهو افتعال من دعا بمعنى طلب بالقول وهو فيما كان المطلوب غير حاضر في المقابل المنكر لوجود الحجة لديه كأن المطلوب حاضر عنده</w:t>
      </w:r>
      <w:r w:rsidRPr="00C318F2">
        <w:rPr>
          <w:rFonts w:ascii="Al Nile" w:hAnsi="Al Nile" w:cs="Taher"/>
          <w:sz w:val="36"/>
          <w:szCs w:val="36"/>
          <w:shd w:val="clear" w:color="auto" w:fill="FEFFFE"/>
          <w:rtl/>
        </w:rPr>
        <w:t>.</w:t>
      </w:r>
    </w:p>
    <w:p w:rsidR="007830AE" w:rsidRPr="00C318F2" w:rsidRDefault="003A4F8E" w:rsidP="00C318F2">
      <w:pPr>
        <w:pStyle w:val="a4"/>
        <w:jc w:val="highKashida"/>
        <w:rPr>
          <w:rFonts w:ascii="Al Nile" w:eastAsia="Al Nile" w:hAnsi="Al Nile" w:cs="Taher" w:hint="default"/>
          <w:sz w:val="36"/>
          <w:szCs w:val="36"/>
          <w:shd w:val="clear" w:color="auto" w:fill="FEFFFE"/>
          <w:rtl/>
        </w:rPr>
      </w:pPr>
      <w:r w:rsidRPr="00C318F2">
        <w:rPr>
          <w:rFonts w:cs="Taher"/>
          <w:sz w:val="36"/>
          <w:szCs w:val="36"/>
          <w:shd w:val="clear" w:color="auto" w:fill="FEFFFE"/>
          <w:rtl/>
        </w:rPr>
        <w:t>مع غمض العين عن</w:t>
      </w:r>
      <w:r w:rsidR="001B5DEB" w:rsidRPr="00C318F2">
        <w:rPr>
          <w:rFonts w:cs="Taher"/>
          <w:sz w:val="36"/>
          <w:szCs w:val="36"/>
          <w:shd w:val="clear" w:color="auto" w:fill="FEFFFE"/>
          <w:rtl/>
        </w:rPr>
        <w:t xml:space="preserve"> ان</w:t>
      </w:r>
      <w:r w:rsidRPr="00C318F2">
        <w:rPr>
          <w:rFonts w:cs="Taher"/>
          <w:sz w:val="36"/>
          <w:szCs w:val="36"/>
          <w:shd w:val="clear" w:color="auto" w:fill="FEFFFE"/>
          <w:rtl/>
        </w:rPr>
        <w:t xml:space="preserve"> هذه الاستفادة من الادعاء هل هي تامة أم لا</w:t>
      </w:r>
      <w:r w:rsidR="001B5DEB" w:rsidRPr="00C318F2">
        <w:rPr>
          <w:rFonts w:cs="Taher"/>
          <w:sz w:val="36"/>
          <w:szCs w:val="36"/>
          <w:shd w:val="clear" w:color="auto" w:fill="FEFFFE"/>
          <w:rtl/>
        </w:rPr>
        <w:t>_کما لايبعد ذلک_</w:t>
      </w:r>
      <w:r w:rsidRPr="00C318F2">
        <w:rPr>
          <w:rFonts w:cs="Taher"/>
          <w:sz w:val="36"/>
          <w:szCs w:val="36"/>
          <w:shd w:val="clear" w:color="auto" w:fill="FEFFFE"/>
          <w:rtl/>
        </w:rPr>
        <w:t xml:space="preserve"> ول</w:t>
      </w:r>
      <w:r w:rsidRPr="00C318F2">
        <w:rPr>
          <w:rFonts w:cs="Taher"/>
          <w:sz w:val="36"/>
          <w:szCs w:val="36"/>
          <w:shd w:val="clear" w:color="auto" w:fill="FEFFFE"/>
          <w:rtl/>
        </w:rPr>
        <w:t>كن أصل التعريف المذكور تام بحسب المتفاهم العرفي فالرواية تدل على أن الإمام عليه السلام منكر لوجود الحجة له و</w:t>
      </w:r>
      <w:r w:rsidR="001B5DEB" w:rsidRPr="00C318F2">
        <w:rPr>
          <w:rFonts w:cs="Taher"/>
          <w:sz w:val="36"/>
          <w:szCs w:val="36"/>
          <w:shd w:val="clear" w:color="auto" w:fill="FEFFFE"/>
          <w:rtl/>
        </w:rPr>
        <w:t xml:space="preserve">حيث </w:t>
      </w:r>
      <w:r w:rsidRPr="00C318F2">
        <w:rPr>
          <w:rFonts w:cs="Taher"/>
          <w:sz w:val="36"/>
          <w:szCs w:val="36"/>
          <w:shd w:val="clear" w:color="auto" w:fill="FEFFFE"/>
          <w:rtl/>
        </w:rPr>
        <w:t>لا حجة في البين إلا اليد فاليد حجة للملكية</w:t>
      </w:r>
      <w:r w:rsidRPr="00C318F2">
        <w:rPr>
          <w:rFonts w:ascii="Al Nile" w:hAnsi="Al Nile" w:cs="Taher"/>
          <w:sz w:val="36"/>
          <w:szCs w:val="36"/>
          <w:shd w:val="clear" w:color="auto" w:fill="FEFFFE"/>
          <w:rtl/>
        </w:rPr>
        <w:t>.</w:t>
      </w:r>
    </w:p>
    <w:p w:rsidR="007830AE" w:rsidRPr="00C318F2" w:rsidRDefault="003A4F8E" w:rsidP="00C318F2">
      <w:pPr>
        <w:pStyle w:val="a4"/>
        <w:jc w:val="highKashida"/>
        <w:rPr>
          <w:rFonts w:ascii="Al Nile" w:eastAsia="Al Nile" w:hAnsi="Al Nile" w:cs="Taher" w:hint="default"/>
          <w:sz w:val="36"/>
          <w:szCs w:val="36"/>
          <w:shd w:val="clear" w:color="auto" w:fill="FEFFFE"/>
          <w:rtl/>
        </w:rPr>
      </w:pPr>
      <w:r w:rsidRPr="00C318F2">
        <w:rPr>
          <w:rFonts w:cs="Taher"/>
          <w:sz w:val="36"/>
          <w:szCs w:val="36"/>
          <w:shd w:val="clear" w:color="auto" w:fill="FEFFFE"/>
          <w:rtl/>
        </w:rPr>
        <w:t>الإشكال الثاني</w:t>
      </w:r>
      <w:r w:rsidRPr="00C318F2">
        <w:rPr>
          <w:rFonts w:ascii="Al Nile" w:hAnsi="Al Nile" w:cs="Taher"/>
          <w:sz w:val="36"/>
          <w:szCs w:val="36"/>
          <w:shd w:val="clear" w:color="auto" w:fill="FEFFFE"/>
          <w:rtl/>
        </w:rPr>
        <w:t xml:space="preserve">: </w:t>
      </w:r>
      <w:r w:rsidRPr="00C318F2">
        <w:rPr>
          <w:rFonts w:cs="Taher"/>
          <w:sz w:val="36"/>
          <w:szCs w:val="36"/>
          <w:shd w:val="clear" w:color="auto" w:fill="FEFFFE"/>
          <w:rtl/>
        </w:rPr>
        <w:t xml:space="preserve">ما </w:t>
      </w:r>
      <w:r w:rsidR="001B5DEB" w:rsidRPr="00C318F2">
        <w:rPr>
          <w:rFonts w:cs="Taher"/>
          <w:sz w:val="36"/>
          <w:szCs w:val="36"/>
          <w:shd w:val="clear" w:color="auto" w:fill="FEFFFE"/>
          <w:rtl/>
        </w:rPr>
        <w:t>حکي عن بعض الاعلام في القواعدالفقهية وهو نفس الاشکال</w:t>
      </w:r>
      <w:r w:rsidRPr="00C318F2">
        <w:rPr>
          <w:rFonts w:cs="Taher"/>
          <w:sz w:val="36"/>
          <w:szCs w:val="36"/>
          <w:shd w:val="clear" w:color="auto" w:fill="FEFFFE"/>
          <w:rtl/>
        </w:rPr>
        <w:t xml:space="preserve"> </w:t>
      </w:r>
      <w:r w:rsidR="001B5DEB" w:rsidRPr="00C318F2">
        <w:rPr>
          <w:rFonts w:cs="Taher"/>
          <w:sz w:val="36"/>
          <w:szCs w:val="36"/>
          <w:shd w:val="clear" w:color="auto" w:fill="FEFFFE"/>
          <w:rtl/>
        </w:rPr>
        <w:t>ع</w:t>
      </w:r>
      <w:r w:rsidRPr="00C318F2">
        <w:rPr>
          <w:rFonts w:cs="Taher"/>
          <w:sz w:val="36"/>
          <w:szCs w:val="36"/>
          <w:shd w:val="clear" w:color="auto" w:fill="FEFFFE"/>
          <w:rtl/>
        </w:rPr>
        <w:t>لى الرواية السابقة من أن غاية ما تدل على</w:t>
      </w:r>
      <w:r w:rsidR="001B5DEB" w:rsidRPr="00C318F2">
        <w:rPr>
          <w:rFonts w:cs="Taher"/>
          <w:sz w:val="36"/>
          <w:szCs w:val="36"/>
          <w:shd w:val="clear" w:color="auto" w:fill="FEFFFE"/>
          <w:rtl/>
        </w:rPr>
        <w:t>ه</w:t>
      </w:r>
      <w:r w:rsidRPr="00C318F2">
        <w:rPr>
          <w:rFonts w:cs="Taher"/>
          <w:sz w:val="36"/>
          <w:szCs w:val="36"/>
          <w:shd w:val="clear" w:color="auto" w:fill="FEFFFE"/>
          <w:rtl/>
        </w:rPr>
        <w:t xml:space="preserve"> حجية اليد المؤكدة والاستيلاء تام </w:t>
      </w:r>
      <w:r w:rsidR="001B5DEB" w:rsidRPr="00C318F2">
        <w:rPr>
          <w:rFonts w:cs="Taher"/>
          <w:sz w:val="36"/>
          <w:szCs w:val="36"/>
          <w:shd w:val="clear" w:color="auto" w:fill="FEFFFE"/>
          <w:rtl/>
        </w:rPr>
        <w:t xml:space="preserve">لامطلق اليد </w:t>
      </w:r>
      <w:r w:rsidRPr="00C318F2">
        <w:rPr>
          <w:rFonts w:cs="Taher"/>
          <w:sz w:val="36"/>
          <w:szCs w:val="36"/>
          <w:shd w:val="clear" w:color="auto" w:fill="FEFFFE"/>
          <w:rtl/>
        </w:rPr>
        <w:t>وا</w:t>
      </w:r>
      <w:r w:rsidRPr="00C318F2">
        <w:rPr>
          <w:rFonts w:cs="Taher"/>
          <w:sz w:val="36"/>
          <w:szCs w:val="36"/>
          <w:shd w:val="clear" w:color="auto" w:fill="FEFFFE"/>
          <w:rtl/>
        </w:rPr>
        <w:t xml:space="preserve">لوجه في ذلك ما ورد في الرواية على بعض النقول من التعبير بـ </w:t>
      </w:r>
      <w:r w:rsidRPr="00C318F2">
        <w:rPr>
          <w:rFonts w:ascii="Al Nile" w:hAnsi="Al Nile" w:cs="Taher"/>
          <w:sz w:val="36"/>
          <w:szCs w:val="36"/>
          <w:shd w:val="clear" w:color="auto" w:fill="FEFFFE"/>
          <w:rtl/>
        </w:rPr>
        <w:t>(</w:t>
      </w:r>
      <w:r w:rsidRPr="00C318F2">
        <w:rPr>
          <w:rFonts w:cs="Taher"/>
          <w:sz w:val="36"/>
          <w:szCs w:val="36"/>
          <w:shd w:val="clear" w:color="auto" w:fill="FEFFFE"/>
          <w:rtl/>
        </w:rPr>
        <w:t>يملكونه</w:t>
      </w:r>
      <w:r w:rsidRPr="00C318F2">
        <w:rPr>
          <w:rFonts w:ascii="Al Nile" w:hAnsi="Al Nile" w:cs="Taher"/>
          <w:sz w:val="36"/>
          <w:szCs w:val="36"/>
          <w:shd w:val="clear" w:color="auto" w:fill="FEFFFE"/>
          <w:rtl/>
        </w:rPr>
        <w:t xml:space="preserve">) </w:t>
      </w:r>
      <w:r w:rsidRPr="00C318F2">
        <w:rPr>
          <w:rFonts w:cs="Taher"/>
          <w:sz w:val="36"/>
          <w:szCs w:val="36"/>
          <w:shd w:val="clear" w:color="auto" w:fill="FEFFFE"/>
          <w:rtl/>
        </w:rPr>
        <w:t xml:space="preserve">أو </w:t>
      </w:r>
      <w:r w:rsidRPr="00C318F2">
        <w:rPr>
          <w:rFonts w:ascii="Al Nile" w:hAnsi="Al Nile" w:cs="Taher"/>
          <w:sz w:val="36"/>
          <w:szCs w:val="36"/>
          <w:shd w:val="clear" w:color="auto" w:fill="FEFFFE"/>
          <w:rtl/>
        </w:rPr>
        <w:t>(</w:t>
      </w:r>
      <w:r w:rsidRPr="00C318F2">
        <w:rPr>
          <w:rFonts w:cs="Taher"/>
          <w:sz w:val="36"/>
          <w:szCs w:val="36"/>
          <w:shd w:val="clear" w:color="auto" w:fill="FEFFFE"/>
          <w:rtl/>
        </w:rPr>
        <w:t>ملكتْ</w:t>
      </w:r>
      <w:r w:rsidRPr="00C318F2">
        <w:rPr>
          <w:rFonts w:ascii="Al Nile" w:hAnsi="Al Nile" w:cs="Taher"/>
          <w:sz w:val="36"/>
          <w:szCs w:val="36"/>
          <w:shd w:val="clear" w:color="auto" w:fill="FEFFFE"/>
          <w:rtl/>
        </w:rPr>
        <w:t xml:space="preserve">) </w:t>
      </w:r>
      <w:r w:rsidRPr="00C318F2">
        <w:rPr>
          <w:rFonts w:cs="Taher"/>
          <w:sz w:val="36"/>
          <w:szCs w:val="36"/>
          <w:shd w:val="clear" w:color="auto" w:fill="FEFFFE"/>
          <w:rtl/>
        </w:rPr>
        <w:t xml:space="preserve">فهذه التعابير تدل على أن </w:t>
      </w:r>
      <w:r w:rsidR="00965D44" w:rsidRPr="00C318F2">
        <w:rPr>
          <w:rFonts w:cs="Taher"/>
          <w:sz w:val="36"/>
          <w:szCs w:val="36"/>
          <w:shd w:val="clear" w:color="auto" w:fill="FEFFFE"/>
          <w:rtl/>
        </w:rPr>
        <w:t xml:space="preserve">المفروض في المورد </w:t>
      </w:r>
      <w:r w:rsidRPr="00C318F2">
        <w:rPr>
          <w:rFonts w:cs="Taher"/>
          <w:sz w:val="36"/>
          <w:szCs w:val="36"/>
          <w:shd w:val="clear" w:color="auto" w:fill="FEFFFE"/>
          <w:rtl/>
        </w:rPr>
        <w:t xml:space="preserve">اليد المؤكدة وهي التي تكون مع التصرفات المالكية وحيث نحتمل صحة هذه النقول فلا يستفاد من الرواية أكثر من حجية اليد المؤكدة </w:t>
      </w:r>
      <w:r w:rsidR="00965D44" w:rsidRPr="00C318F2">
        <w:rPr>
          <w:rFonts w:cs="Taher"/>
          <w:sz w:val="36"/>
          <w:szCs w:val="36"/>
          <w:shd w:val="clear" w:color="auto" w:fill="FEFFFE"/>
          <w:rtl/>
        </w:rPr>
        <w:t>علی ا</w:t>
      </w:r>
      <w:r w:rsidRPr="00C318F2">
        <w:rPr>
          <w:rFonts w:cs="Taher"/>
          <w:sz w:val="36"/>
          <w:szCs w:val="36"/>
          <w:shd w:val="clear" w:color="auto" w:fill="FEFFFE"/>
          <w:rtl/>
        </w:rPr>
        <w:t>لملكية</w:t>
      </w:r>
      <w:r w:rsidRPr="00C318F2">
        <w:rPr>
          <w:rFonts w:ascii="Al Nile" w:hAnsi="Al Nile" w:cs="Taher"/>
          <w:sz w:val="36"/>
          <w:szCs w:val="36"/>
          <w:shd w:val="clear" w:color="auto" w:fill="FEFFFE"/>
          <w:rtl/>
        </w:rPr>
        <w:t>.</w:t>
      </w:r>
    </w:p>
    <w:p w:rsidR="007830AE" w:rsidRPr="00C318F2" w:rsidRDefault="003A4F8E" w:rsidP="00C318F2">
      <w:pPr>
        <w:pStyle w:val="a4"/>
        <w:jc w:val="highKashida"/>
        <w:rPr>
          <w:rFonts w:ascii="Al Nile" w:eastAsia="Al Nile" w:hAnsi="Al Nile" w:cs="Taher" w:hint="default"/>
          <w:sz w:val="36"/>
          <w:szCs w:val="36"/>
          <w:shd w:val="clear" w:color="auto" w:fill="FEFFFE"/>
          <w:rtl/>
        </w:rPr>
      </w:pPr>
      <w:r w:rsidRPr="00C318F2">
        <w:rPr>
          <w:rFonts w:cs="Taher"/>
          <w:sz w:val="36"/>
          <w:szCs w:val="36"/>
          <w:shd w:val="clear" w:color="auto" w:fill="FEFFFE"/>
          <w:rtl/>
        </w:rPr>
        <w:t xml:space="preserve">ويلاحظ عليه أولاً بأن الملك في </w:t>
      </w:r>
      <w:r w:rsidRPr="00C318F2">
        <w:rPr>
          <w:rFonts w:ascii="Al Nile" w:hAnsi="Al Nile" w:cs="Taher"/>
          <w:sz w:val="36"/>
          <w:szCs w:val="36"/>
          <w:shd w:val="clear" w:color="auto" w:fill="FEFFFE"/>
          <w:rtl/>
        </w:rPr>
        <w:t>(</w:t>
      </w:r>
      <w:r w:rsidRPr="00C318F2">
        <w:rPr>
          <w:rFonts w:cs="Taher"/>
          <w:sz w:val="36"/>
          <w:szCs w:val="36"/>
          <w:shd w:val="clear" w:color="auto" w:fill="FEFFFE"/>
          <w:rtl/>
        </w:rPr>
        <w:t>يملكونه</w:t>
      </w:r>
      <w:r w:rsidRPr="00C318F2">
        <w:rPr>
          <w:rFonts w:ascii="Al Nile" w:hAnsi="Al Nile" w:cs="Taher"/>
          <w:sz w:val="36"/>
          <w:szCs w:val="36"/>
          <w:shd w:val="clear" w:color="auto" w:fill="FEFFFE"/>
          <w:rtl/>
        </w:rPr>
        <w:t xml:space="preserve">) </w:t>
      </w:r>
      <w:r w:rsidRPr="00C318F2">
        <w:rPr>
          <w:rFonts w:cs="Taher"/>
          <w:sz w:val="36"/>
          <w:szCs w:val="36"/>
          <w:shd w:val="clear" w:color="auto" w:fill="FEFFFE"/>
          <w:rtl/>
        </w:rPr>
        <w:t xml:space="preserve">أو </w:t>
      </w:r>
      <w:r w:rsidRPr="00C318F2">
        <w:rPr>
          <w:rFonts w:ascii="Al Nile" w:hAnsi="Al Nile" w:cs="Taher"/>
          <w:sz w:val="36"/>
          <w:szCs w:val="36"/>
          <w:shd w:val="clear" w:color="auto" w:fill="FEFFFE"/>
          <w:rtl/>
        </w:rPr>
        <w:t>(</w:t>
      </w:r>
      <w:r w:rsidRPr="00C318F2">
        <w:rPr>
          <w:rFonts w:cs="Taher"/>
          <w:sz w:val="36"/>
          <w:szCs w:val="36"/>
          <w:shd w:val="clear" w:color="auto" w:fill="FEFFFE"/>
          <w:rtl/>
        </w:rPr>
        <w:t>ملكت</w:t>
      </w:r>
      <w:r w:rsidRPr="00C318F2">
        <w:rPr>
          <w:rFonts w:ascii="Al Nile" w:hAnsi="Al Nile" w:cs="Taher"/>
          <w:sz w:val="36"/>
          <w:szCs w:val="36"/>
          <w:shd w:val="clear" w:color="auto" w:fill="FEFFFE"/>
          <w:rtl/>
        </w:rPr>
        <w:t xml:space="preserve">) </w:t>
      </w:r>
      <w:r w:rsidRPr="00C318F2">
        <w:rPr>
          <w:rFonts w:cs="Taher"/>
          <w:sz w:val="36"/>
          <w:szCs w:val="36"/>
          <w:shd w:val="clear" w:color="auto" w:fill="FEFFFE"/>
          <w:rtl/>
        </w:rPr>
        <w:t xml:space="preserve">ليس بمعنى الاستيلاء التام بل </w:t>
      </w:r>
      <w:r w:rsidRPr="00C318F2">
        <w:rPr>
          <w:rFonts w:cs="Taher"/>
          <w:sz w:val="36"/>
          <w:szCs w:val="36"/>
          <w:shd w:val="clear" w:color="auto" w:fill="FEFFFE"/>
          <w:rtl/>
        </w:rPr>
        <w:t>قيد توضيحي لأصل الاستيلاء</w:t>
      </w:r>
      <w:r w:rsidRPr="00C318F2">
        <w:rPr>
          <w:rFonts w:ascii="Al Nile" w:hAnsi="Al Nile" w:cs="Taher"/>
          <w:sz w:val="36"/>
          <w:szCs w:val="36"/>
          <w:shd w:val="clear" w:color="auto" w:fill="FEFFFE"/>
          <w:rtl/>
        </w:rPr>
        <w:t>.</w:t>
      </w:r>
    </w:p>
    <w:p w:rsidR="007830AE" w:rsidRPr="00C318F2" w:rsidRDefault="003A4F8E" w:rsidP="00C318F2">
      <w:pPr>
        <w:pStyle w:val="a4"/>
        <w:jc w:val="highKashida"/>
        <w:rPr>
          <w:rFonts w:ascii="Al Nile" w:eastAsia="Al Nile" w:hAnsi="Al Nile" w:cs="Taher" w:hint="default"/>
          <w:sz w:val="36"/>
          <w:szCs w:val="36"/>
          <w:shd w:val="clear" w:color="auto" w:fill="FEFFFE"/>
          <w:rtl/>
        </w:rPr>
      </w:pPr>
      <w:r w:rsidRPr="00C318F2">
        <w:rPr>
          <w:rFonts w:cs="Taher"/>
          <w:sz w:val="36"/>
          <w:szCs w:val="36"/>
          <w:shd w:val="clear" w:color="auto" w:fill="FEFFFE"/>
          <w:rtl/>
        </w:rPr>
        <w:lastRenderedPageBreak/>
        <w:t>وثانياً نفس هذه التعابير تدل على أن نفس الاستيلاء دليل الملك فالمسلمون لاستيلائهم يملكون والصديقة الطاهرة سلام الله عليها لاستيلائها تكون مالكةً ف</w:t>
      </w:r>
      <w:r w:rsidRPr="00C318F2">
        <w:rPr>
          <w:rFonts w:cs="Taher"/>
          <w:sz w:val="36"/>
          <w:szCs w:val="36"/>
          <w:shd w:val="clear" w:color="auto" w:fill="FEFFFE"/>
          <w:rtl/>
        </w:rPr>
        <w:t>الرواية تدل بالدلالة المطابقية على حجية اليد</w:t>
      </w:r>
      <w:r w:rsidR="00965D44" w:rsidRPr="00C318F2">
        <w:rPr>
          <w:rFonts w:cs="Taher"/>
          <w:sz w:val="36"/>
          <w:szCs w:val="36"/>
          <w:shd w:val="clear" w:color="auto" w:fill="FEFFFE"/>
          <w:rtl/>
        </w:rPr>
        <w:t xml:space="preserve"> ، ويمکننا ان نستفيد من هذا البيان جواباً آخر عن اشکال المنتقی وهو ان الرواية _بناء علی ثبوت النسخة المشتملة علی يملکونه وملکته _بملاحظة توصيف اليد بالملکية تدل بالدلالة المطابقية علی حجية اليد علی الملکية </w:t>
      </w:r>
      <w:r w:rsidRPr="00C318F2">
        <w:rPr>
          <w:rFonts w:ascii="Al Nile" w:hAnsi="Al Nile" w:cs="Taher"/>
          <w:sz w:val="36"/>
          <w:szCs w:val="36"/>
          <w:shd w:val="clear" w:color="auto" w:fill="FEFFFE"/>
          <w:rtl/>
        </w:rPr>
        <w:t>.</w:t>
      </w:r>
    </w:p>
    <w:p w:rsidR="007830AE" w:rsidRPr="00C318F2" w:rsidRDefault="003A4F8E" w:rsidP="00C318F2">
      <w:pPr>
        <w:pStyle w:val="a4"/>
        <w:jc w:val="highKashida"/>
        <w:rPr>
          <w:rFonts w:ascii="Al Nile" w:eastAsia="Al Nile" w:hAnsi="Al Nile" w:cs="Taher" w:hint="default"/>
          <w:sz w:val="36"/>
          <w:szCs w:val="36"/>
          <w:shd w:val="clear" w:color="auto" w:fill="FEFFFE"/>
          <w:rtl/>
        </w:rPr>
      </w:pPr>
      <w:r w:rsidRPr="00C318F2">
        <w:rPr>
          <w:rFonts w:cs="Taher"/>
          <w:sz w:val="36"/>
          <w:szCs w:val="36"/>
          <w:shd w:val="clear" w:color="auto" w:fill="FEFFFE"/>
          <w:rtl/>
        </w:rPr>
        <w:t>الرواية الرابعة من الروايات التي استدل بها على قاعدة اليد</w:t>
      </w:r>
      <w:r w:rsidRPr="00C318F2">
        <w:rPr>
          <w:rFonts w:ascii="Al Nile" w:hAnsi="Al Nile" w:cs="Taher"/>
          <w:sz w:val="36"/>
          <w:szCs w:val="36"/>
          <w:shd w:val="clear" w:color="auto" w:fill="FEFFFE"/>
          <w:rtl/>
        </w:rPr>
        <w:t xml:space="preserve">: </w:t>
      </w:r>
      <w:r w:rsidRPr="00C318F2">
        <w:rPr>
          <w:rFonts w:cs="Taher"/>
          <w:sz w:val="36"/>
          <w:szCs w:val="36"/>
          <w:shd w:val="clear" w:color="auto" w:fill="FEFFFE"/>
          <w:rtl/>
        </w:rPr>
        <w:t>رواية مسعدة بن صدقة المروية في الوسائل الباب ٢٥ من أبواب كيفية الحكم الحديث ٣</w:t>
      </w:r>
      <w:r w:rsidRPr="00C318F2">
        <w:rPr>
          <w:rFonts w:ascii="Al Nile" w:hAnsi="Al Nile" w:cs="Taher"/>
          <w:sz w:val="36"/>
          <w:szCs w:val="36"/>
          <w:shd w:val="clear" w:color="auto" w:fill="FEFFFE"/>
          <w:rtl/>
        </w:rPr>
        <w:t xml:space="preserve">: </w:t>
      </w:r>
      <w:r w:rsidRPr="00C318F2">
        <w:rPr>
          <w:rFonts w:cs="Taher"/>
          <w:sz w:val="36"/>
          <w:szCs w:val="36"/>
          <w:shd w:val="clear" w:color="auto" w:fill="FEFFFE"/>
          <w:rtl/>
        </w:rPr>
        <w:t>عن الكليني قدس سره عن علي بن إبراهيم، عن هارون بن مسلم، عن مسعدة ابن صدق</w:t>
      </w:r>
      <w:r w:rsidRPr="00C318F2">
        <w:rPr>
          <w:rFonts w:cs="Taher"/>
          <w:sz w:val="36"/>
          <w:szCs w:val="36"/>
          <w:shd w:val="clear" w:color="auto" w:fill="FEFFFE"/>
          <w:rtl/>
        </w:rPr>
        <w:t>ة، عن أبي عبد الله عليه السلام قال</w:t>
      </w:r>
      <w:r w:rsidRPr="00C318F2">
        <w:rPr>
          <w:rFonts w:ascii="Al Nile" w:hAnsi="Al Nile" w:cs="Taher"/>
          <w:sz w:val="36"/>
          <w:szCs w:val="36"/>
          <w:shd w:val="clear" w:color="auto" w:fill="FEFFFE"/>
          <w:rtl/>
        </w:rPr>
        <w:t xml:space="preserve">: </w:t>
      </w:r>
      <w:r w:rsidRPr="00C318F2">
        <w:rPr>
          <w:rFonts w:cs="Taher"/>
          <w:sz w:val="36"/>
          <w:szCs w:val="36"/>
          <w:shd w:val="clear" w:color="auto" w:fill="FEFFFE"/>
          <w:rtl/>
        </w:rPr>
        <w:t>سمعته يقول</w:t>
      </w:r>
      <w:r w:rsidRPr="00C318F2">
        <w:rPr>
          <w:rFonts w:ascii="Al Nile" w:hAnsi="Al Nile" w:cs="Taher"/>
          <w:sz w:val="36"/>
          <w:szCs w:val="36"/>
          <w:shd w:val="clear" w:color="auto" w:fill="FEFFFE"/>
          <w:rtl/>
        </w:rPr>
        <w:t xml:space="preserve">: </w:t>
      </w:r>
      <w:r w:rsidRPr="00C318F2">
        <w:rPr>
          <w:rFonts w:cs="Taher"/>
          <w:sz w:val="36"/>
          <w:szCs w:val="36"/>
          <w:shd w:val="clear" w:color="auto" w:fill="FEFFFE"/>
          <w:rtl/>
        </w:rPr>
        <w:t>كل شيء هو لك حلال حتى تعلم أنه حرام بعينه فتدعه من قبل نفسك، وذلك مثل الثوب يكون عليك قد اش</w:t>
      </w:r>
      <w:bookmarkStart w:id="0" w:name="_GoBack"/>
      <w:bookmarkEnd w:id="0"/>
      <w:r w:rsidRPr="00C318F2">
        <w:rPr>
          <w:rFonts w:cs="Taher"/>
          <w:sz w:val="36"/>
          <w:szCs w:val="36"/>
          <w:shd w:val="clear" w:color="auto" w:fill="FEFFFE"/>
          <w:rtl/>
        </w:rPr>
        <w:t>تريته وهو سرقة، أو المملوك عندك لعله حر قد باع نفسه، أو خدع فبيع قهرا، أو امرأة تحتك وهي أختك أو رضيعتك، والأشياء كله</w:t>
      </w:r>
      <w:r w:rsidRPr="00C318F2">
        <w:rPr>
          <w:rFonts w:cs="Taher"/>
          <w:sz w:val="36"/>
          <w:szCs w:val="36"/>
          <w:shd w:val="clear" w:color="auto" w:fill="FEFFFE"/>
          <w:rtl/>
        </w:rPr>
        <w:t>ا على هذا حتى يستبين لك غير ذلك، أو تقوم به البينة</w:t>
      </w:r>
      <w:r w:rsidRPr="00C318F2">
        <w:rPr>
          <w:rFonts w:ascii="Al Nile" w:hAnsi="Al Nile" w:cs="Taher"/>
          <w:sz w:val="36"/>
          <w:szCs w:val="36"/>
          <w:shd w:val="clear" w:color="auto" w:fill="FEFFFE"/>
          <w:rtl/>
        </w:rPr>
        <w:t>.</w:t>
      </w:r>
    </w:p>
    <w:p w:rsidR="007830AE" w:rsidRPr="00C318F2" w:rsidRDefault="003A4F8E" w:rsidP="00C318F2">
      <w:pPr>
        <w:pStyle w:val="a4"/>
        <w:jc w:val="highKashida"/>
        <w:rPr>
          <w:rFonts w:ascii="Al Nile" w:eastAsia="Al Nile" w:hAnsi="Al Nile" w:cs="Taher" w:hint="default"/>
          <w:sz w:val="36"/>
          <w:szCs w:val="36"/>
          <w:shd w:val="clear" w:color="auto" w:fill="FEFFFE"/>
          <w:rtl/>
        </w:rPr>
      </w:pPr>
      <w:r w:rsidRPr="00C318F2">
        <w:rPr>
          <w:rFonts w:cs="Taher"/>
          <w:sz w:val="36"/>
          <w:szCs w:val="36"/>
          <w:shd w:val="clear" w:color="auto" w:fill="FEFFFE"/>
          <w:rtl/>
        </w:rPr>
        <w:t>ورواها</w:t>
      </w:r>
      <w:r w:rsidRPr="00C318F2">
        <w:rPr>
          <w:rFonts w:ascii="Al Nile" w:hAnsi="Al Nile" w:cs="Taher"/>
          <w:sz w:val="36"/>
          <w:szCs w:val="36"/>
          <w:shd w:val="clear" w:color="auto" w:fill="FEFFFE"/>
          <w:rtl/>
        </w:rPr>
        <w:t xml:space="preserve"> </w:t>
      </w:r>
      <w:r w:rsidRPr="00C318F2">
        <w:rPr>
          <w:rFonts w:cs="Taher"/>
          <w:sz w:val="36"/>
          <w:szCs w:val="36"/>
          <w:shd w:val="clear" w:color="auto" w:fill="FEFFFE"/>
          <w:rtl/>
        </w:rPr>
        <w:t>أيضاً الشيخ قدس سره بإسناده عن علي بن إبراهيم</w:t>
      </w:r>
      <w:r w:rsidRPr="00C318F2">
        <w:rPr>
          <w:rFonts w:ascii="Al Nile" w:hAnsi="Al Nile" w:cs="Taher"/>
          <w:sz w:val="36"/>
          <w:szCs w:val="36"/>
          <w:shd w:val="clear" w:color="auto" w:fill="FEFFFE"/>
          <w:rtl/>
        </w:rPr>
        <w:t>.</w:t>
      </w:r>
    </w:p>
    <w:p w:rsidR="007830AE" w:rsidRPr="00C318F2" w:rsidRDefault="003A4F8E" w:rsidP="00C318F2">
      <w:pPr>
        <w:pStyle w:val="a4"/>
        <w:jc w:val="highKashida"/>
        <w:rPr>
          <w:rFonts w:ascii="Al Nile" w:eastAsia="Al Nile" w:hAnsi="Al Nile" w:cs="Taher" w:hint="default"/>
          <w:sz w:val="36"/>
          <w:szCs w:val="36"/>
          <w:shd w:val="clear" w:color="auto" w:fill="FEFFFE"/>
          <w:rtl/>
        </w:rPr>
      </w:pPr>
      <w:r w:rsidRPr="00C318F2">
        <w:rPr>
          <w:rFonts w:cs="Taher"/>
          <w:sz w:val="36"/>
          <w:szCs w:val="36"/>
          <w:shd w:val="clear" w:color="auto" w:fill="FEFFFE"/>
          <w:rtl/>
        </w:rPr>
        <w:t>تقريب دلالتها على قاعدة اليد أن الإمام عليه السلام حكم بصحة الشراء ولو مع احتمال كون المبيع سرقة وكذا حكم بصحة شراء المملوك مع احتمال كونه حراً وصحة ا</w:t>
      </w:r>
      <w:r w:rsidRPr="00C318F2">
        <w:rPr>
          <w:rFonts w:cs="Taher"/>
          <w:sz w:val="36"/>
          <w:szCs w:val="36"/>
          <w:shd w:val="clear" w:color="auto" w:fill="FEFFFE"/>
          <w:rtl/>
        </w:rPr>
        <w:t>لشراء متوقفة على ملكية البايع للمبيع والحكم بالصحة لا وجه له إلا كون يد البايع دليل على ملكيته</w:t>
      </w:r>
      <w:r w:rsidRPr="00C318F2">
        <w:rPr>
          <w:rFonts w:ascii="Al Nile" w:hAnsi="Al Nile" w:cs="Taher"/>
          <w:sz w:val="36"/>
          <w:szCs w:val="36"/>
          <w:shd w:val="clear" w:color="auto" w:fill="FEFFFE"/>
          <w:rtl/>
        </w:rPr>
        <w:t xml:space="preserve">. </w:t>
      </w:r>
    </w:p>
    <w:p w:rsidR="007830AE" w:rsidRPr="00C318F2" w:rsidRDefault="003A4F8E" w:rsidP="00C318F2">
      <w:pPr>
        <w:pStyle w:val="a4"/>
        <w:jc w:val="highKashida"/>
        <w:rPr>
          <w:rFonts w:ascii="Al Nile" w:eastAsia="Al Nile" w:hAnsi="Al Nile" w:cs="Taher" w:hint="default"/>
          <w:sz w:val="36"/>
          <w:szCs w:val="36"/>
          <w:shd w:val="clear" w:color="auto" w:fill="FEFFFE"/>
          <w:rtl/>
        </w:rPr>
      </w:pPr>
      <w:r w:rsidRPr="00C318F2">
        <w:rPr>
          <w:rFonts w:cs="Taher"/>
          <w:sz w:val="36"/>
          <w:szCs w:val="36"/>
          <w:shd w:val="clear" w:color="auto" w:fill="FEFFFE"/>
          <w:rtl/>
        </w:rPr>
        <w:t>ولكن الإشكال في سندها من جهة مسعدة بن صدقة حيث لم يوثق بخصوصه وإنما وثق مسعدة بن زياد ومصدّق بن صدقة</w:t>
      </w:r>
      <w:r w:rsidRPr="00C318F2">
        <w:rPr>
          <w:rFonts w:ascii="Al Nile" w:hAnsi="Al Nile" w:cs="Taher"/>
          <w:sz w:val="36"/>
          <w:szCs w:val="36"/>
          <w:shd w:val="clear" w:color="auto" w:fill="FEFFFE"/>
          <w:rtl/>
        </w:rPr>
        <w:t>.</w:t>
      </w:r>
    </w:p>
    <w:p w:rsidR="007830AE" w:rsidRPr="00C318F2" w:rsidRDefault="003A4F8E" w:rsidP="00C318F2">
      <w:pPr>
        <w:pStyle w:val="a4"/>
        <w:jc w:val="highKashida"/>
        <w:rPr>
          <w:rFonts w:ascii="Al Nile" w:eastAsia="Al Nile" w:hAnsi="Al Nile" w:cs="Taher" w:hint="default"/>
          <w:sz w:val="36"/>
          <w:szCs w:val="36"/>
          <w:shd w:val="clear" w:color="auto" w:fill="FEFFFE"/>
          <w:rtl/>
        </w:rPr>
      </w:pPr>
      <w:r w:rsidRPr="00C318F2">
        <w:rPr>
          <w:rFonts w:cs="Taher"/>
          <w:sz w:val="36"/>
          <w:szCs w:val="36"/>
          <w:shd w:val="clear" w:color="auto" w:fill="FEFFFE"/>
          <w:rtl/>
        </w:rPr>
        <w:t>ذكرت وجوه لتوثيقه منها ما ذكره والد المجلسي قدس سره أنا ن</w:t>
      </w:r>
      <w:r w:rsidRPr="00C318F2">
        <w:rPr>
          <w:rFonts w:cs="Taher"/>
          <w:sz w:val="36"/>
          <w:szCs w:val="36"/>
          <w:shd w:val="clear" w:color="auto" w:fill="FEFFFE"/>
          <w:rtl/>
        </w:rPr>
        <w:t xml:space="preserve">علم بملاحظة مجموع روايات مسعدة في مختلف أبواب الفقه أنها روايات </w:t>
      </w:r>
      <w:r w:rsidR="00965D44" w:rsidRPr="00C318F2">
        <w:rPr>
          <w:rFonts w:cs="Taher"/>
          <w:sz w:val="36"/>
          <w:szCs w:val="36"/>
          <w:shd w:val="clear" w:color="auto" w:fill="FEFFFE"/>
          <w:rtl/>
        </w:rPr>
        <w:t xml:space="preserve">متقنة </w:t>
      </w:r>
      <w:r w:rsidRPr="00C318F2">
        <w:rPr>
          <w:rFonts w:cs="Taher"/>
          <w:sz w:val="36"/>
          <w:szCs w:val="36"/>
          <w:shd w:val="clear" w:color="auto" w:fill="FEFFFE"/>
          <w:rtl/>
        </w:rPr>
        <w:lastRenderedPageBreak/>
        <w:t>م</w:t>
      </w:r>
      <w:r w:rsidRPr="00C318F2">
        <w:rPr>
          <w:rFonts w:cs="Taher"/>
          <w:sz w:val="36"/>
          <w:szCs w:val="36"/>
          <w:shd w:val="clear" w:color="auto" w:fill="FEFFFE"/>
          <w:rtl/>
        </w:rPr>
        <w:t xml:space="preserve">حكمة </w:t>
      </w:r>
      <w:r w:rsidR="00965D44" w:rsidRPr="00C318F2">
        <w:rPr>
          <w:rFonts w:cs="Taher"/>
          <w:sz w:val="36"/>
          <w:szCs w:val="36"/>
          <w:shd w:val="clear" w:color="auto" w:fill="FEFFFE"/>
          <w:rtl/>
        </w:rPr>
        <w:t>و</w:t>
      </w:r>
      <w:r w:rsidRPr="00C318F2">
        <w:rPr>
          <w:rFonts w:cs="Taher"/>
          <w:sz w:val="36"/>
          <w:szCs w:val="36"/>
          <w:shd w:val="clear" w:color="auto" w:fill="FEFFFE"/>
          <w:rtl/>
        </w:rPr>
        <w:t>موافقة لروايات الثقات وهذا كاشف عن وثاقته وتقاس رواياته بروايات مثل جميل وحريز بل رواياته تفوق</w:t>
      </w:r>
      <w:r w:rsidRPr="00C318F2">
        <w:rPr>
          <w:rFonts w:ascii="Al Nile" w:hAnsi="Al Nile" w:cs="Taher"/>
          <w:sz w:val="36"/>
          <w:szCs w:val="36"/>
          <w:shd w:val="clear" w:color="auto" w:fill="FEFFFE"/>
          <w:rtl/>
        </w:rPr>
        <w:t>.</w:t>
      </w:r>
    </w:p>
    <w:p w:rsidR="007830AE" w:rsidRPr="00C318F2" w:rsidRDefault="003A4F8E" w:rsidP="00C318F2">
      <w:pPr>
        <w:pStyle w:val="a4"/>
        <w:jc w:val="highKashida"/>
        <w:rPr>
          <w:rFonts w:ascii="Al Nile" w:eastAsia="Al Nile" w:hAnsi="Al Nile" w:cs="Taher" w:hint="default"/>
          <w:sz w:val="36"/>
          <w:szCs w:val="36"/>
          <w:shd w:val="clear" w:color="auto" w:fill="FEFFFE"/>
          <w:rtl/>
        </w:rPr>
      </w:pPr>
      <w:r w:rsidRPr="00C318F2">
        <w:rPr>
          <w:rFonts w:cs="Taher"/>
          <w:sz w:val="36"/>
          <w:szCs w:val="36"/>
          <w:shd w:val="clear" w:color="auto" w:fill="FEFFFE"/>
          <w:rtl/>
        </w:rPr>
        <w:t xml:space="preserve">ظاهر كلامه إحراز وثاقة مسعدة باستحكام رواياته ولكن </w:t>
      </w:r>
      <w:r w:rsidR="00C318F2" w:rsidRPr="00C318F2">
        <w:rPr>
          <w:rFonts w:cs="Taher"/>
          <w:sz w:val="36"/>
          <w:szCs w:val="36"/>
          <w:shd w:val="clear" w:color="auto" w:fill="FEFFFE"/>
          <w:rtl/>
        </w:rPr>
        <w:t xml:space="preserve">قديقال ان </w:t>
      </w:r>
      <w:r w:rsidRPr="00C318F2">
        <w:rPr>
          <w:rFonts w:cs="Taher"/>
          <w:sz w:val="36"/>
          <w:szCs w:val="36"/>
          <w:shd w:val="clear" w:color="auto" w:fill="FEFFFE"/>
          <w:rtl/>
        </w:rPr>
        <w:t xml:space="preserve">ذلك </w:t>
      </w:r>
      <w:r w:rsidR="00C318F2" w:rsidRPr="00C318F2">
        <w:rPr>
          <w:rFonts w:cs="Taher"/>
          <w:sz w:val="36"/>
          <w:szCs w:val="36"/>
          <w:shd w:val="clear" w:color="auto" w:fill="FEFFFE"/>
          <w:rtl/>
        </w:rPr>
        <w:t>انما ي</w:t>
      </w:r>
      <w:r w:rsidRPr="00C318F2">
        <w:rPr>
          <w:rFonts w:cs="Taher"/>
          <w:sz w:val="36"/>
          <w:szCs w:val="36"/>
          <w:shd w:val="clear" w:color="auto" w:fill="FEFFFE"/>
          <w:rtl/>
        </w:rPr>
        <w:t>وجب للو</w:t>
      </w:r>
      <w:r w:rsidRPr="00C318F2">
        <w:rPr>
          <w:rFonts w:cs="Taher"/>
          <w:sz w:val="36"/>
          <w:szCs w:val="36"/>
          <w:shd w:val="clear" w:color="auto" w:fill="FEFFFE"/>
          <w:rtl/>
        </w:rPr>
        <w:t>ثوق ب</w:t>
      </w:r>
      <w:r w:rsidR="00C318F2" w:rsidRPr="00C318F2">
        <w:rPr>
          <w:rFonts w:cs="Taher"/>
          <w:sz w:val="36"/>
          <w:szCs w:val="36"/>
          <w:shd w:val="clear" w:color="auto" w:fill="FEFFFE"/>
          <w:rtl/>
        </w:rPr>
        <w:t xml:space="preserve">صدور </w:t>
      </w:r>
      <w:r w:rsidRPr="00C318F2">
        <w:rPr>
          <w:rFonts w:cs="Taher"/>
          <w:sz w:val="36"/>
          <w:szCs w:val="36"/>
          <w:shd w:val="clear" w:color="auto" w:fill="FEFFFE"/>
          <w:rtl/>
        </w:rPr>
        <w:t>رواياته</w:t>
      </w:r>
      <w:r w:rsidR="00C318F2" w:rsidRPr="00C318F2">
        <w:rPr>
          <w:rFonts w:cs="Taher"/>
          <w:sz w:val="36"/>
          <w:szCs w:val="36"/>
          <w:shd w:val="clear" w:color="auto" w:fill="FEFFFE"/>
          <w:rtl/>
        </w:rPr>
        <w:t xml:space="preserve"> لاوثاقة نفس الراوي</w:t>
      </w:r>
      <w:r w:rsidRPr="00C318F2">
        <w:rPr>
          <w:rFonts w:ascii="Al Nile" w:hAnsi="Al Nile" w:cs="Taher"/>
          <w:sz w:val="36"/>
          <w:szCs w:val="36"/>
          <w:shd w:val="clear" w:color="auto" w:fill="FEFFFE"/>
          <w:rtl/>
        </w:rPr>
        <w:t>.</w:t>
      </w:r>
    </w:p>
    <w:p w:rsidR="007830AE" w:rsidRPr="00C318F2" w:rsidRDefault="003A4F8E" w:rsidP="00C318F2">
      <w:pPr>
        <w:pStyle w:val="a4"/>
        <w:jc w:val="highKashida"/>
        <w:rPr>
          <w:rFonts w:cs="Taher"/>
          <w:rtl/>
          <w:lang w:bidi="fa-IR"/>
        </w:rPr>
      </w:pPr>
      <w:r w:rsidRPr="00C318F2">
        <w:rPr>
          <w:rFonts w:cs="Taher"/>
          <w:sz w:val="36"/>
          <w:szCs w:val="36"/>
          <w:shd w:val="clear" w:color="auto" w:fill="FEFFFE"/>
          <w:rtl/>
        </w:rPr>
        <w:t>وهذا الوجه وإن ذكر بالنسبة إلى آخرين أيضاً كمحمد بن سنان وسهل بن زياد ولكن لا يكفي لإحراز الوثاقة لأن الوارد في روايات هؤلاء وغالب الروايات الفقهية الحكم بالوجوب وعدم الوجوب وأمثال ذلك ولم يستخدم فيها الفصاحة والبلاغة بل ألفاظها ألفاظ عرفية ب</w:t>
      </w:r>
      <w:r w:rsidRPr="00C318F2">
        <w:rPr>
          <w:rFonts w:cs="Taher"/>
          <w:sz w:val="36"/>
          <w:szCs w:val="36"/>
          <w:shd w:val="clear" w:color="auto" w:fill="FEFFFE"/>
          <w:rtl/>
        </w:rPr>
        <w:t>حيث يمكن جعلها من قبل الجاعلين بملاحظة سائر الروايات</w:t>
      </w:r>
      <w:r w:rsidRPr="00C318F2">
        <w:rPr>
          <w:rFonts w:ascii="Al Nile" w:hAnsi="Al Nile" w:cs="Taher"/>
          <w:sz w:val="36"/>
          <w:szCs w:val="36"/>
          <w:shd w:val="clear" w:color="auto" w:fill="FEFFFE"/>
          <w:rtl/>
        </w:rPr>
        <w:t>.</w:t>
      </w:r>
    </w:p>
    <w:sectPr w:rsidR="007830AE" w:rsidRPr="00C318F2">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F8E" w:rsidRDefault="003A4F8E">
      <w:r>
        <w:separator/>
      </w:r>
    </w:p>
  </w:endnote>
  <w:endnote w:type="continuationSeparator" w:id="0">
    <w:p w:rsidR="003A4F8E" w:rsidRDefault="003A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F8E" w:rsidRDefault="003A4F8E">
      <w:r>
        <w:separator/>
      </w:r>
    </w:p>
  </w:footnote>
  <w:footnote w:type="continuationSeparator" w:id="0">
    <w:p w:rsidR="003A4F8E" w:rsidRDefault="003A4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060353"/>
      <w:docPartObj>
        <w:docPartGallery w:val="Page Numbers (Top of Page)"/>
        <w:docPartUnique/>
      </w:docPartObj>
    </w:sdtPr>
    <w:sdtContent>
      <w:p w:rsidR="00C318F2" w:rsidRDefault="00C318F2">
        <w:pPr>
          <w:pStyle w:val="a5"/>
        </w:pPr>
        <w:r>
          <w:fldChar w:fldCharType="begin"/>
        </w:r>
        <w:r>
          <w:instrText>PAGE   \* MERGEFORMAT</w:instrText>
        </w:r>
        <w:r>
          <w:fldChar w:fldCharType="separate"/>
        </w:r>
        <w:r w:rsidRPr="00C318F2">
          <w:rPr>
            <w:noProof/>
            <w:lang w:val="fa-IR"/>
          </w:rPr>
          <w:t>3</w:t>
        </w:r>
        <w:r>
          <w:rPr>
            <w:noProof/>
          </w:rPr>
          <w:fldChar w:fldCharType="end"/>
        </w:r>
      </w:p>
    </w:sdtContent>
  </w:sdt>
  <w:p w:rsidR="007830AE" w:rsidRDefault="007830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830AE"/>
    <w:rsid w:val="001B5DEB"/>
    <w:rsid w:val="003A4F8E"/>
    <w:rsid w:val="007830AE"/>
    <w:rsid w:val="00965D44"/>
    <w:rsid w:val="00C318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C318F2"/>
    <w:pPr>
      <w:tabs>
        <w:tab w:val="center" w:pos="4513"/>
        <w:tab w:val="right" w:pos="9026"/>
      </w:tabs>
    </w:pPr>
  </w:style>
  <w:style w:type="character" w:customStyle="1" w:styleId="a6">
    <w:name w:val="سرصفحه نویسه"/>
    <w:basedOn w:val="a0"/>
    <w:link w:val="a5"/>
    <w:uiPriority w:val="99"/>
    <w:rsid w:val="00C318F2"/>
    <w:rPr>
      <w:sz w:val="24"/>
      <w:szCs w:val="24"/>
      <w:lang w:bidi="ar-SA"/>
    </w:rPr>
  </w:style>
  <w:style w:type="paragraph" w:styleId="a7">
    <w:name w:val="footer"/>
    <w:basedOn w:val="a"/>
    <w:link w:val="a8"/>
    <w:uiPriority w:val="99"/>
    <w:unhideWhenUsed/>
    <w:rsid w:val="00C318F2"/>
    <w:pPr>
      <w:tabs>
        <w:tab w:val="center" w:pos="4513"/>
        <w:tab w:val="right" w:pos="9026"/>
      </w:tabs>
    </w:pPr>
  </w:style>
  <w:style w:type="character" w:customStyle="1" w:styleId="a8">
    <w:name w:val="پانویس نویسه"/>
    <w:basedOn w:val="a0"/>
    <w:link w:val="a7"/>
    <w:uiPriority w:val="99"/>
    <w:rsid w:val="00C318F2"/>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C318F2"/>
    <w:pPr>
      <w:tabs>
        <w:tab w:val="center" w:pos="4513"/>
        <w:tab w:val="right" w:pos="9026"/>
      </w:tabs>
    </w:pPr>
  </w:style>
  <w:style w:type="character" w:customStyle="1" w:styleId="a6">
    <w:name w:val="سرصفحه نویسه"/>
    <w:basedOn w:val="a0"/>
    <w:link w:val="a5"/>
    <w:uiPriority w:val="99"/>
    <w:rsid w:val="00C318F2"/>
    <w:rPr>
      <w:sz w:val="24"/>
      <w:szCs w:val="24"/>
      <w:lang w:bidi="ar-SA"/>
    </w:rPr>
  </w:style>
  <w:style w:type="paragraph" w:styleId="a7">
    <w:name w:val="footer"/>
    <w:basedOn w:val="a"/>
    <w:link w:val="a8"/>
    <w:uiPriority w:val="99"/>
    <w:unhideWhenUsed/>
    <w:rsid w:val="00C318F2"/>
    <w:pPr>
      <w:tabs>
        <w:tab w:val="center" w:pos="4513"/>
        <w:tab w:val="right" w:pos="9026"/>
      </w:tabs>
    </w:pPr>
  </w:style>
  <w:style w:type="character" w:customStyle="1" w:styleId="a8">
    <w:name w:val="پانویس نویسه"/>
    <w:basedOn w:val="a0"/>
    <w:link w:val="a7"/>
    <w:uiPriority w:val="99"/>
    <w:rsid w:val="00C318F2"/>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679</Words>
  <Characters>3873</Characters>
  <Application>Microsoft Office Word</Application>
  <DocSecurity>0</DocSecurity>
  <Lines>32</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2019-02-03T16:10:00Z</cp:lastPrinted>
  <dcterms:created xsi:type="dcterms:W3CDTF">2019-02-03T15:47:00Z</dcterms:created>
  <dcterms:modified xsi:type="dcterms:W3CDTF">2019-02-03T16:10:00Z</dcterms:modified>
</cp:coreProperties>
</file>