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FD6B20">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B185F" w:rsidRDefault="00CB185F" w:rsidP="00CB185F">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36677541" w:history="1">
        <w:r w:rsidRPr="00604C87">
          <w:rPr>
            <w:rStyle w:val="ac"/>
            <w:noProof/>
            <w:rtl/>
          </w:rPr>
          <w:t>بررس</w:t>
        </w:r>
        <w:r w:rsidRPr="00604C87">
          <w:rPr>
            <w:rStyle w:val="ac"/>
            <w:rFonts w:hint="cs"/>
            <w:noProof/>
            <w:rtl/>
          </w:rPr>
          <w:t>ی</w:t>
        </w:r>
        <w:r w:rsidRPr="00604C87">
          <w:rPr>
            <w:rStyle w:val="ac"/>
            <w:noProof/>
            <w:rtl/>
          </w:rPr>
          <w:t xml:space="preserve"> روا</w:t>
        </w:r>
        <w:r w:rsidRPr="00604C87">
          <w:rPr>
            <w:rStyle w:val="ac"/>
            <w:rFonts w:hint="cs"/>
            <w:noProof/>
            <w:rtl/>
          </w:rPr>
          <w:t>ی</w:t>
        </w:r>
        <w:r w:rsidRPr="00604C87">
          <w:rPr>
            <w:rStyle w:val="ac"/>
            <w:rFonts w:hint="eastAsia"/>
            <w:noProof/>
            <w:rtl/>
          </w:rPr>
          <w:t>ت</w:t>
        </w:r>
        <w:r w:rsidRPr="00604C87">
          <w:rPr>
            <w:rStyle w:val="ac"/>
            <w:noProof/>
            <w:rtl/>
          </w:rPr>
          <w:t xml:space="preserve"> 3</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Toc536677541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CB185F" w:rsidRDefault="00481367" w:rsidP="00CB185F">
      <w:pPr>
        <w:pStyle w:val="22"/>
        <w:tabs>
          <w:tab w:val="right" w:leader="dot" w:pos="10194"/>
        </w:tabs>
        <w:rPr>
          <w:rFonts w:asciiTheme="minorHAnsi" w:eastAsiaTheme="minorEastAsia" w:hAnsiTheme="minorHAnsi" w:cstheme="minorBidi"/>
          <w:bCs w:val="0"/>
          <w:noProof/>
          <w:color w:val="auto"/>
          <w:szCs w:val="22"/>
          <w:rtl/>
          <w:lang w:bidi="ar-SA"/>
        </w:rPr>
      </w:pPr>
      <w:hyperlink w:anchor="_Toc536677542" w:history="1">
        <w:r w:rsidR="00CB185F" w:rsidRPr="00604C87">
          <w:rPr>
            <w:rStyle w:val="ac"/>
            <w:noProof/>
            <w:rtl/>
          </w:rPr>
          <w:t>مناقشه دلال</w:t>
        </w:r>
        <w:r w:rsidR="00CB185F" w:rsidRPr="00604C87">
          <w:rPr>
            <w:rStyle w:val="ac"/>
            <w:rFonts w:hint="cs"/>
            <w:noProof/>
            <w:rtl/>
          </w:rPr>
          <w:t>ی</w:t>
        </w:r>
        <w:r w:rsidR="00CB185F" w:rsidRPr="00604C87">
          <w:rPr>
            <w:rStyle w:val="ac"/>
            <w:noProof/>
            <w:rtl/>
          </w:rPr>
          <w:t>(منتق</w:t>
        </w:r>
        <w:r w:rsidR="00CB185F" w:rsidRPr="00604C87">
          <w:rPr>
            <w:rStyle w:val="ac"/>
            <w:rFonts w:hint="cs"/>
            <w:noProof/>
            <w:rtl/>
          </w:rPr>
          <w:t>ی</w:t>
        </w:r>
        <w:r w:rsidR="00CB185F" w:rsidRPr="00604C87">
          <w:rPr>
            <w:rStyle w:val="ac"/>
            <w:noProof/>
            <w:rtl/>
          </w:rPr>
          <w:t xml:space="preserve"> الاصول)</w:t>
        </w:r>
        <w:r w:rsidR="00CB185F">
          <w:rPr>
            <w:noProof/>
            <w:webHidden/>
            <w:rtl/>
          </w:rPr>
          <w:tab/>
        </w:r>
        <w:r w:rsidR="00CB185F">
          <w:rPr>
            <w:noProof/>
            <w:webHidden/>
            <w:rtl/>
          </w:rPr>
          <w:fldChar w:fldCharType="begin"/>
        </w:r>
        <w:r w:rsidR="00CB185F">
          <w:rPr>
            <w:noProof/>
            <w:webHidden/>
            <w:rtl/>
          </w:rPr>
          <w:instrText xml:space="preserve"> </w:instrText>
        </w:r>
        <w:r w:rsidR="00CB185F">
          <w:rPr>
            <w:noProof/>
            <w:webHidden/>
          </w:rPr>
          <w:instrText>PAGEREF</w:instrText>
        </w:r>
        <w:r w:rsidR="00CB185F">
          <w:rPr>
            <w:noProof/>
            <w:webHidden/>
            <w:rtl/>
          </w:rPr>
          <w:instrText xml:space="preserve"> _</w:instrText>
        </w:r>
        <w:r w:rsidR="00CB185F">
          <w:rPr>
            <w:noProof/>
            <w:webHidden/>
          </w:rPr>
          <w:instrText>Toc536677542 \h</w:instrText>
        </w:r>
        <w:r w:rsidR="00CB185F">
          <w:rPr>
            <w:noProof/>
            <w:webHidden/>
            <w:rtl/>
          </w:rPr>
          <w:instrText xml:space="preserve"> </w:instrText>
        </w:r>
        <w:r w:rsidR="00CB185F">
          <w:rPr>
            <w:noProof/>
            <w:webHidden/>
            <w:rtl/>
          </w:rPr>
        </w:r>
        <w:r w:rsidR="00CB185F">
          <w:rPr>
            <w:noProof/>
            <w:webHidden/>
            <w:rtl/>
          </w:rPr>
          <w:fldChar w:fldCharType="separate"/>
        </w:r>
        <w:r w:rsidR="00CB185F">
          <w:rPr>
            <w:noProof/>
            <w:webHidden/>
            <w:rtl/>
          </w:rPr>
          <w:t>2</w:t>
        </w:r>
        <w:r w:rsidR="00CB185F">
          <w:rPr>
            <w:noProof/>
            <w:webHidden/>
            <w:rtl/>
          </w:rPr>
          <w:fldChar w:fldCharType="end"/>
        </w:r>
      </w:hyperlink>
    </w:p>
    <w:p w:rsidR="00CB185F" w:rsidRDefault="00481367" w:rsidP="00CB185F">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6677543" w:history="1">
        <w:r w:rsidR="00CB185F" w:rsidRPr="00604C87">
          <w:rPr>
            <w:rStyle w:val="ac"/>
            <w:noProof/>
            <w:rtl/>
          </w:rPr>
          <w:t>تخلّص</w:t>
        </w:r>
        <w:r w:rsidR="00CB185F">
          <w:rPr>
            <w:noProof/>
            <w:webHidden/>
            <w:rtl/>
          </w:rPr>
          <w:tab/>
        </w:r>
        <w:r w:rsidR="00CB185F">
          <w:rPr>
            <w:noProof/>
            <w:webHidden/>
            <w:rtl/>
          </w:rPr>
          <w:fldChar w:fldCharType="begin"/>
        </w:r>
        <w:r w:rsidR="00CB185F">
          <w:rPr>
            <w:noProof/>
            <w:webHidden/>
            <w:rtl/>
          </w:rPr>
          <w:instrText xml:space="preserve"> </w:instrText>
        </w:r>
        <w:r w:rsidR="00CB185F">
          <w:rPr>
            <w:noProof/>
            <w:webHidden/>
          </w:rPr>
          <w:instrText>PAGEREF</w:instrText>
        </w:r>
        <w:r w:rsidR="00CB185F">
          <w:rPr>
            <w:noProof/>
            <w:webHidden/>
            <w:rtl/>
          </w:rPr>
          <w:instrText xml:space="preserve"> _</w:instrText>
        </w:r>
        <w:r w:rsidR="00CB185F">
          <w:rPr>
            <w:noProof/>
            <w:webHidden/>
          </w:rPr>
          <w:instrText>Toc536677543 \h</w:instrText>
        </w:r>
        <w:r w:rsidR="00CB185F">
          <w:rPr>
            <w:noProof/>
            <w:webHidden/>
            <w:rtl/>
          </w:rPr>
          <w:instrText xml:space="preserve"> </w:instrText>
        </w:r>
        <w:r w:rsidR="00CB185F">
          <w:rPr>
            <w:noProof/>
            <w:webHidden/>
            <w:rtl/>
          </w:rPr>
        </w:r>
        <w:r w:rsidR="00CB185F">
          <w:rPr>
            <w:noProof/>
            <w:webHidden/>
            <w:rtl/>
          </w:rPr>
          <w:fldChar w:fldCharType="separate"/>
        </w:r>
        <w:r w:rsidR="00CB185F">
          <w:rPr>
            <w:noProof/>
            <w:webHidden/>
            <w:rtl/>
          </w:rPr>
          <w:t>2</w:t>
        </w:r>
        <w:r w:rsidR="00CB185F">
          <w:rPr>
            <w:noProof/>
            <w:webHidden/>
            <w:rtl/>
          </w:rPr>
          <w:fldChar w:fldCharType="end"/>
        </w:r>
      </w:hyperlink>
    </w:p>
    <w:p w:rsidR="00CB185F" w:rsidRDefault="00481367" w:rsidP="00CB185F">
      <w:pPr>
        <w:pStyle w:val="22"/>
        <w:tabs>
          <w:tab w:val="right" w:leader="dot" w:pos="10194"/>
        </w:tabs>
        <w:rPr>
          <w:rFonts w:asciiTheme="minorHAnsi" w:eastAsiaTheme="minorEastAsia" w:hAnsiTheme="minorHAnsi" w:cstheme="minorBidi"/>
          <w:bCs w:val="0"/>
          <w:noProof/>
          <w:color w:val="auto"/>
          <w:szCs w:val="22"/>
          <w:rtl/>
          <w:lang w:bidi="ar-SA"/>
        </w:rPr>
      </w:pPr>
      <w:hyperlink w:anchor="_Toc536677544" w:history="1">
        <w:r w:rsidR="00CB185F" w:rsidRPr="00604C87">
          <w:rPr>
            <w:rStyle w:val="ac"/>
            <w:noProof/>
            <w:rtl/>
          </w:rPr>
          <w:t>مناقشه دلال</w:t>
        </w:r>
        <w:r w:rsidR="00CB185F" w:rsidRPr="00604C87">
          <w:rPr>
            <w:rStyle w:val="ac"/>
            <w:rFonts w:hint="cs"/>
            <w:noProof/>
            <w:rtl/>
          </w:rPr>
          <w:t>ی</w:t>
        </w:r>
        <w:r w:rsidR="00CB185F" w:rsidRPr="00604C87">
          <w:rPr>
            <w:rStyle w:val="ac"/>
            <w:noProof/>
            <w:rtl/>
          </w:rPr>
          <w:t xml:space="preserve"> 2</w:t>
        </w:r>
        <w:r w:rsidR="00CB185F">
          <w:rPr>
            <w:noProof/>
            <w:webHidden/>
            <w:rtl/>
          </w:rPr>
          <w:tab/>
        </w:r>
        <w:r w:rsidR="00CB185F">
          <w:rPr>
            <w:noProof/>
            <w:webHidden/>
            <w:rtl/>
          </w:rPr>
          <w:fldChar w:fldCharType="begin"/>
        </w:r>
        <w:r w:rsidR="00CB185F">
          <w:rPr>
            <w:noProof/>
            <w:webHidden/>
            <w:rtl/>
          </w:rPr>
          <w:instrText xml:space="preserve"> </w:instrText>
        </w:r>
        <w:r w:rsidR="00CB185F">
          <w:rPr>
            <w:noProof/>
            <w:webHidden/>
          </w:rPr>
          <w:instrText>PAGEREF</w:instrText>
        </w:r>
        <w:r w:rsidR="00CB185F">
          <w:rPr>
            <w:noProof/>
            <w:webHidden/>
            <w:rtl/>
          </w:rPr>
          <w:instrText xml:space="preserve"> _</w:instrText>
        </w:r>
        <w:r w:rsidR="00CB185F">
          <w:rPr>
            <w:noProof/>
            <w:webHidden/>
          </w:rPr>
          <w:instrText>Toc536677544 \h</w:instrText>
        </w:r>
        <w:r w:rsidR="00CB185F">
          <w:rPr>
            <w:noProof/>
            <w:webHidden/>
            <w:rtl/>
          </w:rPr>
          <w:instrText xml:space="preserve"> </w:instrText>
        </w:r>
        <w:r w:rsidR="00CB185F">
          <w:rPr>
            <w:noProof/>
            <w:webHidden/>
            <w:rtl/>
          </w:rPr>
        </w:r>
        <w:r w:rsidR="00CB185F">
          <w:rPr>
            <w:noProof/>
            <w:webHidden/>
            <w:rtl/>
          </w:rPr>
          <w:fldChar w:fldCharType="separate"/>
        </w:r>
        <w:r w:rsidR="00CB185F">
          <w:rPr>
            <w:noProof/>
            <w:webHidden/>
            <w:rtl/>
          </w:rPr>
          <w:t>3</w:t>
        </w:r>
        <w:r w:rsidR="00CB185F">
          <w:rPr>
            <w:noProof/>
            <w:webHidden/>
            <w:rtl/>
          </w:rPr>
          <w:fldChar w:fldCharType="end"/>
        </w:r>
      </w:hyperlink>
    </w:p>
    <w:p w:rsidR="00CB185F" w:rsidRDefault="00481367" w:rsidP="00CB185F">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6677545" w:history="1">
        <w:r w:rsidR="00CB185F" w:rsidRPr="00604C87">
          <w:rPr>
            <w:rStyle w:val="ac"/>
            <w:noProof/>
            <w:rtl/>
          </w:rPr>
          <w:t>تخلّص</w:t>
        </w:r>
        <w:r w:rsidR="00CB185F">
          <w:rPr>
            <w:noProof/>
            <w:webHidden/>
            <w:rtl/>
          </w:rPr>
          <w:tab/>
        </w:r>
        <w:r w:rsidR="00CB185F">
          <w:rPr>
            <w:noProof/>
            <w:webHidden/>
            <w:rtl/>
          </w:rPr>
          <w:fldChar w:fldCharType="begin"/>
        </w:r>
        <w:r w:rsidR="00CB185F">
          <w:rPr>
            <w:noProof/>
            <w:webHidden/>
            <w:rtl/>
          </w:rPr>
          <w:instrText xml:space="preserve"> </w:instrText>
        </w:r>
        <w:r w:rsidR="00CB185F">
          <w:rPr>
            <w:noProof/>
            <w:webHidden/>
          </w:rPr>
          <w:instrText>PAGEREF</w:instrText>
        </w:r>
        <w:r w:rsidR="00CB185F">
          <w:rPr>
            <w:noProof/>
            <w:webHidden/>
            <w:rtl/>
          </w:rPr>
          <w:instrText xml:space="preserve"> _</w:instrText>
        </w:r>
        <w:r w:rsidR="00CB185F">
          <w:rPr>
            <w:noProof/>
            <w:webHidden/>
          </w:rPr>
          <w:instrText>Toc536677545 \h</w:instrText>
        </w:r>
        <w:r w:rsidR="00CB185F">
          <w:rPr>
            <w:noProof/>
            <w:webHidden/>
            <w:rtl/>
          </w:rPr>
          <w:instrText xml:space="preserve"> </w:instrText>
        </w:r>
        <w:r w:rsidR="00CB185F">
          <w:rPr>
            <w:noProof/>
            <w:webHidden/>
            <w:rtl/>
          </w:rPr>
        </w:r>
        <w:r w:rsidR="00CB185F">
          <w:rPr>
            <w:noProof/>
            <w:webHidden/>
            <w:rtl/>
          </w:rPr>
          <w:fldChar w:fldCharType="separate"/>
        </w:r>
        <w:r w:rsidR="00CB185F">
          <w:rPr>
            <w:noProof/>
            <w:webHidden/>
            <w:rtl/>
          </w:rPr>
          <w:t>3</w:t>
        </w:r>
        <w:r w:rsidR="00CB185F">
          <w:rPr>
            <w:noProof/>
            <w:webHidden/>
            <w:rtl/>
          </w:rPr>
          <w:fldChar w:fldCharType="end"/>
        </w:r>
      </w:hyperlink>
    </w:p>
    <w:p w:rsidR="00CB185F" w:rsidRDefault="00481367" w:rsidP="00CB185F">
      <w:pPr>
        <w:pStyle w:val="11"/>
        <w:rPr>
          <w:rFonts w:asciiTheme="minorHAnsi" w:eastAsiaTheme="minorEastAsia" w:hAnsiTheme="minorHAnsi" w:cstheme="minorBidi"/>
          <w:noProof/>
          <w:color w:val="auto"/>
          <w:szCs w:val="22"/>
          <w:rtl/>
          <w:lang w:bidi="ar-SA"/>
        </w:rPr>
      </w:pPr>
      <w:hyperlink w:anchor="_Toc536677546" w:history="1">
        <w:r w:rsidR="00CB185F" w:rsidRPr="00604C87">
          <w:rPr>
            <w:rStyle w:val="ac"/>
            <w:noProof/>
            <w:rtl/>
          </w:rPr>
          <w:t>روا</w:t>
        </w:r>
        <w:r w:rsidR="00CB185F" w:rsidRPr="00604C87">
          <w:rPr>
            <w:rStyle w:val="ac"/>
            <w:rFonts w:hint="cs"/>
            <w:noProof/>
            <w:rtl/>
          </w:rPr>
          <w:t>ی</w:t>
        </w:r>
        <w:r w:rsidR="00CB185F" w:rsidRPr="00604C87">
          <w:rPr>
            <w:rStyle w:val="ac"/>
            <w:rFonts w:hint="eastAsia"/>
            <w:noProof/>
            <w:rtl/>
          </w:rPr>
          <w:t>ت</w:t>
        </w:r>
        <w:r w:rsidR="00CB185F" w:rsidRPr="00604C87">
          <w:rPr>
            <w:rStyle w:val="ac"/>
            <w:noProof/>
            <w:rtl/>
          </w:rPr>
          <w:t xml:space="preserve"> 4: مسعده بن صدقه</w:t>
        </w:r>
        <w:r w:rsidR="00CB185F">
          <w:rPr>
            <w:noProof/>
            <w:webHidden/>
            <w:rtl/>
          </w:rPr>
          <w:tab/>
        </w:r>
        <w:r w:rsidR="00CB185F">
          <w:rPr>
            <w:noProof/>
            <w:webHidden/>
            <w:rtl/>
          </w:rPr>
          <w:fldChar w:fldCharType="begin"/>
        </w:r>
        <w:r w:rsidR="00CB185F">
          <w:rPr>
            <w:noProof/>
            <w:webHidden/>
            <w:rtl/>
          </w:rPr>
          <w:instrText xml:space="preserve"> </w:instrText>
        </w:r>
        <w:r w:rsidR="00CB185F">
          <w:rPr>
            <w:noProof/>
            <w:webHidden/>
          </w:rPr>
          <w:instrText>PAGEREF</w:instrText>
        </w:r>
        <w:r w:rsidR="00CB185F">
          <w:rPr>
            <w:noProof/>
            <w:webHidden/>
            <w:rtl/>
          </w:rPr>
          <w:instrText xml:space="preserve"> _</w:instrText>
        </w:r>
        <w:r w:rsidR="00CB185F">
          <w:rPr>
            <w:noProof/>
            <w:webHidden/>
          </w:rPr>
          <w:instrText>Toc536677546 \h</w:instrText>
        </w:r>
        <w:r w:rsidR="00CB185F">
          <w:rPr>
            <w:noProof/>
            <w:webHidden/>
            <w:rtl/>
          </w:rPr>
          <w:instrText xml:space="preserve"> </w:instrText>
        </w:r>
        <w:r w:rsidR="00CB185F">
          <w:rPr>
            <w:noProof/>
            <w:webHidden/>
            <w:rtl/>
          </w:rPr>
        </w:r>
        <w:r w:rsidR="00CB185F">
          <w:rPr>
            <w:noProof/>
            <w:webHidden/>
            <w:rtl/>
          </w:rPr>
          <w:fldChar w:fldCharType="separate"/>
        </w:r>
        <w:r w:rsidR="00CB185F">
          <w:rPr>
            <w:noProof/>
            <w:webHidden/>
            <w:rtl/>
          </w:rPr>
          <w:t>4</w:t>
        </w:r>
        <w:r w:rsidR="00CB185F">
          <w:rPr>
            <w:noProof/>
            <w:webHidden/>
            <w:rtl/>
          </w:rPr>
          <w:fldChar w:fldCharType="end"/>
        </w:r>
      </w:hyperlink>
    </w:p>
    <w:p w:rsidR="00CB185F" w:rsidRDefault="00481367" w:rsidP="00CB185F">
      <w:pPr>
        <w:pStyle w:val="22"/>
        <w:tabs>
          <w:tab w:val="right" w:leader="dot" w:pos="10194"/>
        </w:tabs>
        <w:rPr>
          <w:rFonts w:asciiTheme="minorHAnsi" w:eastAsiaTheme="minorEastAsia" w:hAnsiTheme="minorHAnsi" w:cstheme="minorBidi"/>
          <w:bCs w:val="0"/>
          <w:noProof/>
          <w:color w:val="auto"/>
          <w:szCs w:val="22"/>
          <w:rtl/>
          <w:lang w:bidi="ar-SA"/>
        </w:rPr>
      </w:pPr>
      <w:hyperlink w:anchor="_Toc536677547" w:history="1">
        <w:r w:rsidR="00CB185F" w:rsidRPr="00604C87">
          <w:rPr>
            <w:rStyle w:val="ac"/>
            <w:noProof/>
            <w:rtl/>
          </w:rPr>
          <w:t>تقر</w:t>
        </w:r>
        <w:r w:rsidR="00CB185F" w:rsidRPr="00604C87">
          <w:rPr>
            <w:rStyle w:val="ac"/>
            <w:rFonts w:hint="cs"/>
            <w:noProof/>
            <w:rtl/>
          </w:rPr>
          <w:t>ی</w:t>
        </w:r>
        <w:r w:rsidR="00CB185F" w:rsidRPr="00604C87">
          <w:rPr>
            <w:rStyle w:val="ac"/>
            <w:rFonts w:hint="eastAsia"/>
            <w:noProof/>
            <w:rtl/>
          </w:rPr>
          <w:t>ب</w:t>
        </w:r>
        <w:r w:rsidR="00CB185F">
          <w:rPr>
            <w:noProof/>
            <w:webHidden/>
            <w:rtl/>
          </w:rPr>
          <w:tab/>
        </w:r>
        <w:r w:rsidR="00CB185F">
          <w:rPr>
            <w:noProof/>
            <w:webHidden/>
            <w:rtl/>
          </w:rPr>
          <w:fldChar w:fldCharType="begin"/>
        </w:r>
        <w:r w:rsidR="00CB185F">
          <w:rPr>
            <w:noProof/>
            <w:webHidden/>
            <w:rtl/>
          </w:rPr>
          <w:instrText xml:space="preserve"> </w:instrText>
        </w:r>
        <w:r w:rsidR="00CB185F">
          <w:rPr>
            <w:noProof/>
            <w:webHidden/>
          </w:rPr>
          <w:instrText>PAGEREF</w:instrText>
        </w:r>
        <w:r w:rsidR="00CB185F">
          <w:rPr>
            <w:noProof/>
            <w:webHidden/>
            <w:rtl/>
          </w:rPr>
          <w:instrText xml:space="preserve"> _</w:instrText>
        </w:r>
        <w:r w:rsidR="00CB185F">
          <w:rPr>
            <w:noProof/>
            <w:webHidden/>
          </w:rPr>
          <w:instrText>Toc536677547 \h</w:instrText>
        </w:r>
        <w:r w:rsidR="00CB185F">
          <w:rPr>
            <w:noProof/>
            <w:webHidden/>
            <w:rtl/>
          </w:rPr>
          <w:instrText xml:space="preserve"> </w:instrText>
        </w:r>
        <w:r w:rsidR="00CB185F">
          <w:rPr>
            <w:noProof/>
            <w:webHidden/>
            <w:rtl/>
          </w:rPr>
        </w:r>
        <w:r w:rsidR="00CB185F">
          <w:rPr>
            <w:noProof/>
            <w:webHidden/>
            <w:rtl/>
          </w:rPr>
          <w:fldChar w:fldCharType="separate"/>
        </w:r>
        <w:r w:rsidR="00CB185F">
          <w:rPr>
            <w:noProof/>
            <w:webHidden/>
            <w:rtl/>
          </w:rPr>
          <w:t>4</w:t>
        </w:r>
        <w:r w:rsidR="00CB185F">
          <w:rPr>
            <w:noProof/>
            <w:webHidden/>
            <w:rtl/>
          </w:rPr>
          <w:fldChar w:fldCharType="end"/>
        </w:r>
      </w:hyperlink>
    </w:p>
    <w:p w:rsidR="00CB185F" w:rsidRDefault="00481367" w:rsidP="00CB185F">
      <w:pPr>
        <w:pStyle w:val="22"/>
        <w:tabs>
          <w:tab w:val="right" w:leader="dot" w:pos="10194"/>
        </w:tabs>
        <w:rPr>
          <w:rFonts w:asciiTheme="minorHAnsi" w:eastAsiaTheme="minorEastAsia" w:hAnsiTheme="minorHAnsi" w:cstheme="minorBidi"/>
          <w:bCs w:val="0"/>
          <w:noProof/>
          <w:color w:val="auto"/>
          <w:szCs w:val="22"/>
          <w:rtl/>
          <w:lang w:bidi="ar-SA"/>
        </w:rPr>
      </w:pPr>
      <w:hyperlink w:anchor="_Toc536677548" w:history="1">
        <w:r w:rsidR="00CB185F" w:rsidRPr="00604C87">
          <w:rPr>
            <w:rStyle w:val="ac"/>
            <w:noProof/>
            <w:rtl/>
          </w:rPr>
          <w:t>بررس</w:t>
        </w:r>
        <w:r w:rsidR="00CB185F" w:rsidRPr="00604C87">
          <w:rPr>
            <w:rStyle w:val="ac"/>
            <w:rFonts w:hint="cs"/>
            <w:noProof/>
            <w:rtl/>
          </w:rPr>
          <w:t>ی</w:t>
        </w:r>
        <w:r w:rsidR="00CB185F" w:rsidRPr="00604C87">
          <w:rPr>
            <w:rStyle w:val="ac"/>
            <w:noProof/>
            <w:rtl/>
          </w:rPr>
          <w:t xml:space="preserve"> سند</w:t>
        </w:r>
        <w:r w:rsidR="00CB185F" w:rsidRPr="00604C87">
          <w:rPr>
            <w:rStyle w:val="ac"/>
            <w:rFonts w:hint="cs"/>
            <w:noProof/>
            <w:rtl/>
          </w:rPr>
          <w:t>ی</w:t>
        </w:r>
        <w:r w:rsidR="00CB185F">
          <w:rPr>
            <w:noProof/>
            <w:webHidden/>
            <w:rtl/>
          </w:rPr>
          <w:tab/>
        </w:r>
        <w:r w:rsidR="00CB185F">
          <w:rPr>
            <w:noProof/>
            <w:webHidden/>
            <w:rtl/>
          </w:rPr>
          <w:fldChar w:fldCharType="begin"/>
        </w:r>
        <w:r w:rsidR="00CB185F">
          <w:rPr>
            <w:noProof/>
            <w:webHidden/>
            <w:rtl/>
          </w:rPr>
          <w:instrText xml:space="preserve"> </w:instrText>
        </w:r>
        <w:r w:rsidR="00CB185F">
          <w:rPr>
            <w:noProof/>
            <w:webHidden/>
          </w:rPr>
          <w:instrText>PAGEREF</w:instrText>
        </w:r>
        <w:r w:rsidR="00CB185F">
          <w:rPr>
            <w:noProof/>
            <w:webHidden/>
            <w:rtl/>
          </w:rPr>
          <w:instrText xml:space="preserve"> _</w:instrText>
        </w:r>
        <w:r w:rsidR="00CB185F">
          <w:rPr>
            <w:noProof/>
            <w:webHidden/>
          </w:rPr>
          <w:instrText>Toc536677548 \h</w:instrText>
        </w:r>
        <w:r w:rsidR="00CB185F">
          <w:rPr>
            <w:noProof/>
            <w:webHidden/>
            <w:rtl/>
          </w:rPr>
          <w:instrText xml:space="preserve"> </w:instrText>
        </w:r>
        <w:r w:rsidR="00CB185F">
          <w:rPr>
            <w:noProof/>
            <w:webHidden/>
            <w:rtl/>
          </w:rPr>
        </w:r>
        <w:r w:rsidR="00CB185F">
          <w:rPr>
            <w:noProof/>
            <w:webHidden/>
            <w:rtl/>
          </w:rPr>
          <w:fldChar w:fldCharType="separate"/>
        </w:r>
        <w:r w:rsidR="00CB185F">
          <w:rPr>
            <w:noProof/>
            <w:webHidden/>
            <w:rtl/>
          </w:rPr>
          <w:t>4</w:t>
        </w:r>
        <w:r w:rsidR="00CB185F">
          <w:rPr>
            <w:noProof/>
            <w:webHidden/>
            <w:rtl/>
          </w:rPr>
          <w:fldChar w:fldCharType="end"/>
        </w:r>
      </w:hyperlink>
    </w:p>
    <w:p w:rsidR="00CB185F" w:rsidRDefault="00481367" w:rsidP="00CB185F">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6677549" w:history="1">
        <w:r w:rsidR="00CB185F" w:rsidRPr="00604C87">
          <w:rPr>
            <w:rStyle w:val="ac"/>
            <w:noProof/>
            <w:rtl/>
          </w:rPr>
          <w:t>وجوه وثاقت مسعده بن صدقه</w:t>
        </w:r>
        <w:r w:rsidR="00CB185F">
          <w:rPr>
            <w:noProof/>
            <w:webHidden/>
            <w:rtl/>
          </w:rPr>
          <w:tab/>
        </w:r>
        <w:r w:rsidR="00CB185F">
          <w:rPr>
            <w:noProof/>
            <w:webHidden/>
            <w:rtl/>
          </w:rPr>
          <w:fldChar w:fldCharType="begin"/>
        </w:r>
        <w:r w:rsidR="00CB185F">
          <w:rPr>
            <w:noProof/>
            <w:webHidden/>
            <w:rtl/>
          </w:rPr>
          <w:instrText xml:space="preserve"> </w:instrText>
        </w:r>
        <w:r w:rsidR="00CB185F">
          <w:rPr>
            <w:noProof/>
            <w:webHidden/>
          </w:rPr>
          <w:instrText>PAGEREF</w:instrText>
        </w:r>
        <w:r w:rsidR="00CB185F">
          <w:rPr>
            <w:noProof/>
            <w:webHidden/>
            <w:rtl/>
          </w:rPr>
          <w:instrText xml:space="preserve"> _</w:instrText>
        </w:r>
        <w:r w:rsidR="00CB185F">
          <w:rPr>
            <w:noProof/>
            <w:webHidden/>
          </w:rPr>
          <w:instrText>Toc536677549 \h</w:instrText>
        </w:r>
        <w:r w:rsidR="00CB185F">
          <w:rPr>
            <w:noProof/>
            <w:webHidden/>
            <w:rtl/>
          </w:rPr>
          <w:instrText xml:space="preserve"> </w:instrText>
        </w:r>
        <w:r w:rsidR="00CB185F">
          <w:rPr>
            <w:noProof/>
            <w:webHidden/>
            <w:rtl/>
          </w:rPr>
        </w:r>
        <w:r w:rsidR="00CB185F">
          <w:rPr>
            <w:noProof/>
            <w:webHidden/>
            <w:rtl/>
          </w:rPr>
          <w:fldChar w:fldCharType="separate"/>
        </w:r>
        <w:r w:rsidR="00CB185F">
          <w:rPr>
            <w:noProof/>
            <w:webHidden/>
            <w:rtl/>
          </w:rPr>
          <w:t>5</w:t>
        </w:r>
        <w:r w:rsidR="00CB185F">
          <w:rPr>
            <w:noProof/>
            <w:webHidden/>
            <w:rtl/>
          </w:rPr>
          <w:fldChar w:fldCharType="end"/>
        </w:r>
      </w:hyperlink>
    </w:p>
    <w:p w:rsidR="00CB185F" w:rsidRDefault="00481367" w:rsidP="00CB185F">
      <w:pPr>
        <w:pStyle w:val="42"/>
        <w:tabs>
          <w:tab w:val="right" w:leader="dot" w:pos="10194"/>
        </w:tabs>
        <w:rPr>
          <w:rFonts w:asciiTheme="minorHAnsi" w:eastAsiaTheme="minorEastAsia" w:hAnsiTheme="minorHAnsi" w:cstheme="minorBidi"/>
          <w:bCs w:val="0"/>
          <w:noProof/>
          <w:color w:val="auto"/>
          <w:szCs w:val="22"/>
          <w:rtl/>
          <w:lang w:bidi="ar-SA"/>
        </w:rPr>
      </w:pPr>
      <w:hyperlink w:anchor="_Toc536677550" w:history="1">
        <w:r w:rsidR="00CB185F" w:rsidRPr="00604C87">
          <w:rPr>
            <w:rStyle w:val="ac"/>
            <w:noProof/>
            <w:rtl/>
          </w:rPr>
          <w:t>مجلس</w:t>
        </w:r>
        <w:r w:rsidR="00CB185F" w:rsidRPr="00604C87">
          <w:rPr>
            <w:rStyle w:val="ac"/>
            <w:rFonts w:hint="cs"/>
            <w:noProof/>
            <w:rtl/>
          </w:rPr>
          <w:t>ی</w:t>
        </w:r>
        <w:r w:rsidR="00CB185F" w:rsidRPr="00604C87">
          <w:rPr>
            <w:rStyle w:val="ac"/>
            <w:noProof/>
            <w:rtl/>
          </w:rPr>
          <w:t>(پدر)</w:t>
        </w:r>
        <w:r w:rsidR="00CB185F">
          <w:rPr>
            <w:noProof/>
            <w:webHidden/>
            <w:rtl/>
          </w:rPr>
          <w:tab/>
        </w:r>
        <w:r w:rsidR="00CB185F">
          <w:rPr>
            <w:noProof/>
            <w:webHidden/>
            <w:rtl/>
          </w:rPr>
          <w:fldChar w:fldCharType="begin"/>
        </w:r>
        <w:r w:rsidR="00CB185F">
          <w:rPr>
            <w:noProof/>
            <w:webHidden/>
            <w:rtl/>
          </w:rPr>
          <w:instrText xml:space="preserve"> </w:instrText>
        </w:r>
        <w:r w:rsidR="00CB185F">
          <w:rPr>
            <w:noProof/>
            <w:webHidden/>
          </w:rPr>
          <w:instrText>PAGEREF</w:instrText>
        </w:r>
        <w:r w:rsidR="00CB185F">
          <w:rPr>
            <w:noProof/>
            <w:webHidden/>
            <w:rtl/>
          </w:rPr>
          <w:instrText xml:space="preserve"> _</w:instrText>
        </w:r>
        <w:r w:rsidR="00CB185F">
          <w:rPr>
            <w:noProof/>
            <w:webHidden/>
          </w:rPr>
          <w:instrText>Toc536677550 \h</w:instrText>
        </w:r>
        <w:r w:rsidR="00CB185F">
          <w:rPr>
            <w:noProof/>
            <w:webHidden/>
            <w:rtl/>
          </w:rPr>
          <w:instrText xml:space="preserve"> </w:instrText>
        </w:r>
        <w:r w:rsidR="00CB185F">
          <w:rPr>
            <w:noProof/>
            <w:webHidden/>
            <w:rtl/>
          </w:rPr>
        </w:r>
        <w:r w:rsidR="00CB185F">
          <w:rPr>
            <w:noProof/>
            <w:webHidden/>
            <w:rtl/>
          </w:rPr>
          <w:fldChar w:fldCharType="separate"/>
        </w:r>
        <w:r w:rsidR="00CB185F">
          <w:rPr>
            <w:noProof/>
            <w:webHidden/>
            <w:rtl/>
          </w:rPr>
          <w:t>5</w:t>
        </w:r>
        <w:r w:rsidR="00CB185F">
          <w:rPr>
            <w:noProof/>
            <w:webHidden/>
            <w:rtl/>
          </w:rPr>
          <w:fldChar w:fldCharType="end"/>
        </w:r>
      </w:hyperlink>
    </w:p>
    <w:p w:rsidR="00CB185F" w:rsidRDefault="00481367" w:rsidP="00CB185F">
      <w:pPr>
        <w:pStyle w:val="52"/>
        <w:tabs>
          <w:tab w:val="right" w:leader="dot" w:pos="10194"/>
        </w:tabs>
        <w:rPr>
          <w:rFonts w:asciiTheme="minorHAnsi" w:eastAsiaTheme="minorEastAsia" w:hAnsiTheme="minorHAnsi" w:cstheme="minorBidi"/>
          <w:bCs w:val="0"/>
          <w:noProof/>
          <w:color w:val="auto"/>
          <w:szCs w:val="22"/>
          <w:rtl/>
          <w:lang w:bidi="ar-SA"/>
        </w:rPr>
      </w:pPr>
      <w:hyperlink w:anchor="_Toc536677551" w:history="1">
        <w:r w:rsidR="00CB185F" w:rsidRPr="00604C87">
          <w:rPr>
            <w:rStyle w:val="ac"/>
            <w:noProof/>
            <w:rtl/>
          </w:rPr>
          <w:t>مناقشه</w:t>
        </w:r>
        <w:r w:rsidR="00CB185F">
          <w:rPr>
            <w:noProof/>
            <w:webHidden/>
            <w:rtl/>
          </w:rPr>
          <w:tab/>
        </w:r>
        <w:r w:rsidR="00CB185F">
          <w:rPr>
            <w:noProof/>
            <w:webHidden/>
            <w:rtl/>
          </w:rPr>
          <w:fldChar w:fldCharType="begin"/>
        </w:r>
        <w:r w:rsidR="00CB185F">
          <w:rPr>
            <w:noProof/>
            <w:webHidden/>
            <w:rtl/>
          </w:rPr>
          <w:instrText xml:space="preserve"> </w:instrText>
        </w:r>
        <w:r w:rsidR="00CB185F">
          <w:rPr>
            <w:noProof/>
            <w:webHidden/>
          </w:rPr>
          <w:instrText>PAGEREF</w:instrText>
        </w:r>
        <w:r w:rsidR="00CB185F">
          <w:rPr>
            <w:noProof/>
            <w:webHidden/>
            <w:rtl/>
          </w:rPr>
          <w:instrText xml:space="preserve"> _</w:instrText>
        </w:r>
        <w:r w:rsidR="00CB185F">
          <w:rPr>
            <w:noProof/>
            <w:webHidden/>
          </w:rPr>
          <w:instrText>Toc536677551 \h</w:instrText>
        </w:r>
        <w:r w:rsidR="00CB185F">
          <w:rPr>
            <w:noProof/>
            <w:webHidden/>
            <w:rtl/>
          </w:rPr>
          <w:instrText xml:space="preserve"> </w:instrText>
        </w:r>
        <w:r w:rsidR="00CB185F">
          <w:rPr>
            <w:noProof/>
            <w:webHidden/>
            <w:rtl/>
          </w:rPr>
        </w:r>
        <w:r w:rsidR="00CB185F">
          <w:rPr>
            <w:noProof/>
            <w:webHidden/>
            <w:rtl/>
          </w:rPr>
          <w:fldChar w:fldCharType="separate"/>
        </w:r>
        <w:r w:rsidR="00CB185F">
          <w:rPr>
            <w:noProof/>
            <w:webHidden/>
            <w:rtl/>
          </w:rPr>
          <w:t>5</w:t>
        </w:r>
        <w:r w:rsidR="00CB185F">
          <w:rPr>
            <w:noProof/>
            <w:webHidden/>
            <w:rtl/>
          </w:rPr>
          <w:fldChar w:fldCharType="end"/>
        </w:r>
      </w:hyperlink>
    </w:p>
    <w:p w:rsidR="00CB185F" w:rsidRDefault="00481367" w:rsidP="00CB185F">
      <w:pPr>
        <w:pStyle w:val="11"/>
        <w:rPr>
          <w:rFonts w:asciiTheme="minorHAnsi" w:eastAsiaTheme="minorEastAsia" w:hAnsiTheme="minorHAnsi" w:cstheme="minorBidi"/>
          <w:noProof/>
          <w:color w:val="auto"/>
          <w:szCs w:val="22"/>
          <w:rtl/>
          <w:lang w:bidi="ar-SA"/>
        </w:rPr>
      </w:pPr>
      <w:hyperlink w:anchor="_Toc536677552" w:history="1">
        <w:r w:rsidR="00CB185F" w:rsidRPr="00604C87">
          <w:rPr>
            <w:rStyle w:val="ac"/>
            <w:noProof/>
            <w:rtl/>
          </w:rPr>
          <w:t>خلاصه جلسه</w:t>
        </w:r>
        <w:r w:rsidR="00CB185F">
          <w:rPr>
            <w:noProof/>
            <w:webHidden/>
            <w:rtl/>
          </w:rPr>
          <w:tab/>
        </w:r>
        <w:r w:rsidR="00CB185F">
          <w:rPr>
            <w:noProof/>
            <w:webHidden/>
            <w:rtl/>
          </w:rPr>
          <w:fldChar w:fldCharType="begin"/>
        </w:r>
        <w:r w:rsidR="00CB185F">
          <w:rPr>
            <w:noProof/>
            <w:webHidden/>
            <w:rtl/>
          </w:rPr>
          <w:instrText xml:space="preserve"> </w:instrText>
        </w:r>
        <w:r w:rsidR="00CB185F">
          <w:rPr>
            <w:noProof/>
            <w:webHidden/>
          </w:rPr>
          <w:instrText>PAGEREF</w:instrText>
        </w:r>
        <w:r w:rsidR="00CB185F">
          <w:rPr>
            <w:noProof/>
            <w:webHidden/>
            <w:rtl/>
          </w:rPr>
          <w:instrText xml:space="preserve"> _</w:instrText>
        </w:r>
        <w:r w:rsidR="00CB185F">
          <w:rPr>
            <w:noProof/>
            <w:webHidden/>
          </w:rPr>
          <w:instrText>Toc536677552 \h</w:instrText>
        </w:r>
        <w:r w:rsidR="00CB185F">
          <w:rPr>
            <w:noProof/>
            <w:webHidden/>
            <w:rtl/>
          </w:rPr>
          <w:instrText xml:space="preserve"> </w:instrText>
        </w:r>
        <w:r w:rsidR="00CB185F">
          <w:rPr>
            <w:noProof/>
            <w:webHidden/>
            <w:rtl/>
          </w:rPr>
        </w:r>
        <w:r w:rsidR="00CB185F">
          <w:rPr>
            <w:noProof/>
            <w:webHidden/>
            <w:rtl/>
          </w:rPr>
          <w:fldChar w:fldCharType="separate"/>
        </w:r>
        <w:r w:rsidR="00CB185F">
          <w:rPr>
            <w:noProof/>
            <w:webHidden/>
            <w:rtl/>
          </w:rPr>
          <w:t>5</w:t>
        </w:r>
        <w:r w:rsidR="00CB185F">
          <w:rPr>
            <w:noProof/>
            <w:webHidden/>
            <w:rtl/>
          </w:rPr>
          <w:fldChar w:fldCharType="end"/>
        </w:r>
      </w:hyperlink>
    </w:p>
    <w:p w:rsidR="00C91EB6" w:rsidRPr="00C91EB6" w:rsidRDefault="00CB185F" w:rsidP="00FD6B20">
      <w:pPr>
        <w:jc w:val="both"/>
      </w:pPr>
      <w:r>
        <w:rPr>
          <w:rFonts w:cs="B Titr"/>
          <w:noProof/>
          <w:webHidden/>
          <w:color w:val="632423" w:themeColor="accent2" w:themeShade="80"/>
          <w:szCs w:val="24"/>
          <w:rtl/>
        </w:rPr>
        <w:fldChar w:fldCharType="end"/>
      </w:r>
    </w:p>
    <w:p w:rsidR="00F343FB" w:rsidRPr="00A6366F" w:rsidRDefault="00F842AD" w:rsidP="00FD6B20">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C323B9">
        <w:rPr>
          <w:rFonts w:hint="cs"/>
          <w:rtl/>
        </w:rPr>
        <w:t>دلیل قاعده، روایت 3 و 4</w:t>
      </w:r>
      <w:r w:rsidR="00025B70">
        <w:rPr>
          <w:rFonts w:hint="cs"/>
          <w:rtl/>
        </w:rPr>
        <w:t xml:space="preserve"> </w:t>
      </w:r>
      <w:r w:rsidR="00386C11" w:rsidRPr="00A6366F">
        <w:rPr>
          <w:rFonts w:hint="cs"/>
          <w:rtl/>
        </w:rPr>
        <w:t>/</w:t>
      </w:r>
      <w:bookmarkStart w:id="1" w:name="BokSabj_d"/>
      <w:bookmarkEnd w:id="1"/>
      <w:r w:rsidR="003D12AE">
        <w:rPr>
          <w:rtl/>
        </w:rPr>
        <w:t xml:space="preserve">قاعده </w:t>
      </w:r>
      <w:r w:rsidR="003D12AE">
        <w:rPr>
          <w:rFonts w:hint="cs"/>
          <w:rtl/>
        </w:rPr>
        <w:t>ی</w:t>
      </w:r>
      <w:r w:rsidR="003D12AE">
        <w:rPr>
          <w:rFonts w:hint="eastAsia"/>
          <w:rtl/>
        </w:rPr>
        <w:t>د</w:t>
      </w:r>
      <w:r w:rsidR="00386C11" w:rsidRPr="00A6366F">
        <w:rPr>
          <w:rFonts w:hint="cs"/>
          <w:rtl/>
        </w:rPr>
        <w:t xml:space="preserve"> /</w:t>
      </w:r>
      <w:bookmarkStart w:id="2" w:name="Bokkolli"/>
      <w:bookmarkEnd w:id="2"/>
      <w:r w:rsidR="003D12AE">
        <w:rPr>
          <w:rtl/>
        </w:rPr>
        <w:t>تنب</w:t>
      </w:r>
      <w:r w:rsidR="003D12AE">
        <w:rPr>
          <w:rFonts w:hint="cs"/>
          <w:rtl/>
        </w:rPr>
        <w:t>ی</w:t>
      </w:r>
      <w:r w:rsidR="003D12AE">
        <w:rPr>
          <w:rFonts w:hint="eastAsia"/>
          <w:rtl/>
        </w:rPr>
        <w:t>هات</w:t>
      </w:r>
      <w:r w:rsidR="003D12AE">
        <w:rPr>
          <w:rtl/>
        </w:rPr>
        <w:t xml:space="preserve"> استصحاب، تعارض با سا</w:t>
      </w:r>
      <w:r w:rsidR="003D12AE">
        <w:rPr>
          <w:rFonts w:hint="cs"/>
          <w:rtl/>
        </w:rPr>
        <w:t>ی</w:t>
      </w:r>
      <w:r w:rsidR="003D12AE">
        <w:rPr>
          <w:rFonts w:hint="eastAsia"/>
          <w:rtl/>
        </w:rPr>
        <w:t>ر</w:t>
      </w:r>
      <w:r w:rsidR="003D12AE">
        <w:rPr>
          <w:rtl/>
        </w:rPr>
        <w:t xml:space="preserve"> اصول</w:t>
      </w:r>
      <w:r w:rsidR="001B6799" w:rsidRPr="00A6366F">
        <w:rPr>
          <w:rFonts w:hint="cs"/>
          <w:rtl/>
        </w:rPr>
        <w:t xml:space="preserve"> </w:t>
      </w:r>
    </w:p>
    <w:p w:rsidR="008F5B4D" w:rsidRPr="009C66D5" w:rsidRDefault="008F5B4D" w:rsidP="00FD6B20">
      <w:pPr>
        <w:jc w:val="both"/>
        <w:rPr>
          <w:rStyle w:val="af0"/>
          <w:b/>
          <w:bCs w:val="0"/>
          <w:rtl/>
        </w:rPr>
      </w:pPr>
      <w:r w:rsidRPr="009C66D5">
        <w:rPr>
          <w:rStyle w:val="af0"/>
          <w:rFonts w:hint="cs"/>
          <w:b/>
          <w:bCs w:val="0"/>
          <w:rtl/>
        </w:rPr>
        <w:t>خلاصه مباحث گذشته:</w:t>
      </w:r>
    </w:p>
    <w:p w:rsidR="003A6148" w:rsidRDefault="00391B57" w:rsidP="00B27AEE">
      <w:pPr>
        <w:pBdr>
          <w:bottom w:val="double" w:sz="6" w:space="1" w:color="auto"/>
        </w:pBdr>
        <w:jc w:val="both"/>
        <w:rPr>
          <w:rtl/>
        </w:rPr>
      </w:pPr>
      <w:r>
        <w:rPr>
          <w:rFonts w:hint="cs"/>
          <w:rtl/>
        </w:rPr>
        <w:t>روایت یونس بن یعقوب سندا و دلاله پذیرفته شد. در مقام بررسی صحیحه حماد بن عثمان</w:t>
      </w:r>
      <w:r w:rsidR="00D40D79">
        <w:rPr>
          <w:rStyle w:val="ab"/>
          <w:rtl/>
        </w:rPr>
        <w:footnoteReference w:id="1"/>
      </w:r>
      <w:r>
        <w:rPr>
          <w:rFonts w:hint="cs"/>
          <w:rtl/>
        </w:rPr>
        <w:t xml:space="preserve"> بودیم</w:t>
      </w:r>
      <w:r w:rsidR="00B27AEE">
        <w:rPr>
          <w:rFonts w:hint="cs"/>
          <w:rtl/>
        </w:rPr>
        <w:t xml:space="preserve">. </w:t>
      </w:r>
      <w:r w:rsidR="00D40D79">
        <w:rPr>
          <w:rFonts w:hint="cs"/>
          <w:rtl/>
        </w:rPr>
        <w:t>این روایت</w:t>
      </w:r>
      <w:r w:rsidR="00E4621F">
        <w:rPr>
          <w:rFonts w:hint="cs"/>
          <w:rtl/>
        </w:rPr>
        <w:t xml:space="preserve"> در مورد جریان فدک وارد شده است</w:t>
      </w:r>
      <w:r>
        <w:rPr>
          <w:rFonts w:hint="cs"/>
          <w:rtl/>
        </w:rPr>
        <w:t xml:space="preserve">. </w:t>
      </w:r>
      <w:r w:rsidR="00F759DA">
        <w:rPr>
          <w:rFonts w:hint="cs"/>
          <w:rtl/>
        </w:rPr>
        <w:t>حضرت علی ع در این روایت</w:t>
      </w:r>
      <w:r w:rsidR="00B27AEE">
        <w:rPr>
          <w:rFonts w:hint="cs"/>
          <w:rtl/>
        </w:rPr>
        <w:t>،</w:t>
      </w:r>
      <w:r w:rsidR="00F759DA">
        <w:rPr>
          <w:rFonts w:hint="cs"/>
          <w:rtl/>
        </w:rPr>
        <w:t xml:space="preserve"> استدلال به </w:t>
      </w:r>
      <w:r w:rsidR="00D2218C">
        <w:rPr>
          <w:rFonts w:hint="cs"/>
          <w:rtl/>
        </w:rPr>
        <w:t>«</w:t>
      </w:r>
      <w:r w:rsidR="00F759DA">
        <w:rPr>
          <w:rFonts w:hint="cs"/>
          <w:rtl/>
        </w:rPr>
        <w:t>ید</w:t>
      </w:r>
      <w:r w:rsidR="00D2218C">
        <w:rPr>
          <w:rFonts w:hint="cs"/>
          <w:rtl/>
        </w:rPr>
        <w:t>»</w:t>
      </w:r>
      <w:r w:rsidR="00F759DA">
        <w:rPr>
          <w:rFonts w:hint="cs"/>
          <w:rtl/>
        </w:rPr>
        <w:t xml:space="preserve"> کردند برای این که ثابت کنند که در مقام دعوا</w:t>
      </w:r>
      <w:r w:rsidR="00B27AEE">
        <w:rPr>
          <w:rFonts w:hint="cs"/>
          <w:rtl/>
        </w:rPr>
        <w:t>، منکِرند</w:t>
      </w:r>
      <w:r w:rsidR="00F759DA">
        <w:rPr>
          <w:rFonts w:hint="cs"/>
          <w:rtl/>
        </w:rPr>
        <w:t xml:space="preserve">، لذا از ایشان نباید طلب بیّنه شود. </w:t>
      </w:r>
      <w:r>
        <w:rPr>
          <w:rFonts w:hint="cs"/>
          <w:rtl/>
        </w:rPr>
        <w:t>سند حدیث معتبر است. حال به بررسی دلالی آن می پردازیم.</w:t>
      </w:r>
    </w:p>
    <w:p w:rsidR="00247D2F" w:rsidRPr="003A6148" w:rsidRDefault="00247D2F" w:rsidP="00FD6B20">
      <w:pPr>
        <w:pBdr>
          <w:bottom w:val="double" w:sz="6" w:space="1" w:color="auto"/>
        </w:pBdr>
        <w:jc w:val="both"/>
      </w:pPr>
    </w:p>
    <w:p w:rsidR="008F5B4D" w:rsidRDefault="008F5B4D" w:rsidP="00FD6B20">
      <w:pPr>
        <w:jc w:val="both"/>
      </w:pPr>
    </w:p>
    <w:p w:rsidR="009354E7" w:rsidRDefault="009354E7" w:rsidP="00FD6B20">
      <w:pPr>
        <w:pStyle w:val="1"/>
        <w:jc w:val="both"/>
        <w:rPr>
          <w:rtl/>
        </w:rPr>
      </w:pPr>
      <w:bookmarkStart w:id="3" w:name="_Toc536677541"/>
      <w:r>
        <w:rPr>
          <w:rFonts w:hint="cs"/>
          <w:rtl/>
        </w:rPr>
        <w:lastRenderedPageBreak/>
        <w:t>بررسی روایت 3</w:t>
      </w:r>
      <w:bookmarkEnd w:id="3"/>
    </w:p>
    <w:p w:rsidR="009354E7" w:rsidRDefault="009354E7" w:rsidP="00FD6B20">
      <w:pPr>
        <w:pStyle w:val="20"/>
        <w:jc w:val="both"/>
        <w:rPr>
          <w:rtl/>
        </w:rPr>
      </w:pPr>
      <w:bookmarkStart w:id="4" w:name="_Toc536677542"/>
      <w:r>
        <w:rPr>
          <w:rFonts w:hint="cs"/>
          <w:rtl/>
        </w:rPr>
        <w:t>مناقشه دلالی</w:t>
      </w:r>
      <w:r w:rsidR="00F549C6">
        <w:rPr>
          <w:rFonts w:hint="cs"/>
          <w:rtl/>
        </w:rPr>
        <w:t>(منتقی الاصول</w:t>
      </w:r>
      <w:r w:rsidR="00D2218C">
        <w:rPr>
          <w:rStyle w:val="ab"/>
          <w:rtl/>
        </w:rPr>
        <w:footnoteReference w:id="2"/>
      </w:r>
      <w:r w:rsidR="00F549C6">
        <w:rPr>
          <w:rFonts w:hint="cs"/>
          <w:rtl/>
        </w:rPr>
        <w:t>)</w:t>
      </w:r>
      <w:bookmarkEnd w:id="4"/>
    </w:p>
    <w:p w:rsidR="001E26E2" w:rsidRDefault="00444089" w:rsidP="001E26E2">
      <w:pPr>
        <w:jc w:val="both"/>
        <w:rPr>
          <w:rtl/>
        </w:rPr>
      </w:pPr>
      <w:r>
        <w:rPr>
          <w:rFonts w:hint="cs"/>
          <w:rtl/>
        </w:rPr>
        <w:t>از روایت مذکور این استفاده می شود که از مدّعی نباید بیّنه طلب شود.</w:t>
      </w:r>
      <w:r w:rsidR="00D2218C">
        <w:rPr>
          <w:rFonts w:hint="cs"/>
          <w:rtl/>
        </w:rPr>
        <w:t xml:space="preserve"> لکن</w:t>
      </w:r>
      <w:r w:rsidR="00F759DA">
        <w:rPr>
          <w:rFonts w:hint="cs"/>
          <w:rtl/>
        </w:rPr>
        <w:t xml:space="preserve"> این دلالت نمی کند که ید </w:t>
      </w:r>
      <w:r w:rsidR="00F759DA" w:rsidRPr="00D2218C">
        <w:rPr>
          <w:rFonts w:hint="cs"/>
          <w:u w:val="single"/>
          <w:rtl/>
        </w:rPr>
        <w:t>حجت</w:t>
      </w:r>
      <w:r w:rsidR="00F759DA">
        <w:rPr>
          <w:rFonts w:hint="cs"/>
          <w:rtl/>
        </w:rPr>
        <w:t xml:space="preserve"> و دلیل بر ملکیّت باشد.</w:t>
      </w:r>
      <w:r>
        <w:rPr>
          <w:rFonts w:hint="cs"/>
          <w:rtl/>
        </w:rPr>
        <w:t xml:space="preserve"> </w:t>
      </w:r>
      <w:r w:rsidR="00D2218C">
        <w:rPr>
          <w:rFonts w:hint="cs"/>
          <w:rtl/>
        </w:rPr>
        <w:t>بله، اگر مراد از مُنکِر کسی باشد که ذو حجت است و مدعی کسی باشد</w:t>
      </w:r>
      <w:r w:rsidR="00F759DA">
        <w:rPr>
          <w:rFonts w:hint="cs"/>
          <w:rtl/>
        </w:rPr>
        <w:t xml:space="preserve"> که مخالف حجت ادعا کند</w:t>
      </w:r>
      <w:r w:rsidR="00D2218C">
        <w:rPr>
          <w:rFonts w:hint="cs"/>
          <w:rtl/>
        </w:rPr>
        <w:t>،</w:t>
      </w:r>
      <w:r w:rsidR="00F759DA">
        <w:rPr>
          <w:rFonts w:hint="cs"/>
          <w:rtl/>
        </w:rPr>
        <w:t xml:space="preserve"> استفاده می شود که ید حجت است</w:t>
      </w:r>
      <w:r w:rsidR="00D2218C">
        <w:rPr>
          <w:rFonts w:hint="cs"/>
          <w:rtl/>
        </w:rPr>
        <w:t>.</w:t>
      </w:r>
      <w:r w:rsidR="001E26E2">
        <w:rPr>
          <w:rFonts w:hint="cs"/>
          <w:rtl/>
        </w:rPr>
        <w:t xml:space="preserve"> اما باید بررسی کرد که مدعی و منکِر چه تعریفی دارند.</w:t>
      </w:r>
      <w:r w:rsidR="00F759DA">
        <w:rPr>
          <w:rFonts w:hint="cs"/>
          <w:rtl/>
        </w:rPr>
        <w:t xml:space="preserve"> </w:t>
      </w:r>
    </w:p>
    <w:p w:rsidR="001E26E2" w:rsidRDefault="001E26E2" w:rsidP="001E26E2">
      <w:pPr>
        <w:jc w:val="both"/>
        <w:rPr>
          <w:rtl/>
        </w:rPr>
      </w:pPr>
      <w:r>
        <w:rPr>
          <w:rFonts w:hint="cs"/>
          <w:rtl/>
        </w:rPr>
        <w:t xml:space="preserve">نزد </w:t>
      </w:r>
      <w:r w:rsidR="00F759DA">
        <w:rPr>
          <w:rFonts w:hint="cs"/>
          <w:rtl/>
        </w:rPr>
        <w:t>مشهور</w:t>
      </w:r>
      <w:r w:rsidR="00D40D79">
        <w:rPr>
          <w:rFonts w:hint="cs"/>
          <w:rtl/>
        </w:rPr>
        <w:t>،</w:t>
      </w:r>
      <w:r w:rsidR="00444089">
        <w:rPr>
          <w:rFonts w:hint="cs"/>
          <w:rtl/>
        </w:rPr>
        <w:t xml:space="preserve"> </w:t>
      </w:r>
      <w:r>
        <w:rPr>
          <w:rFonts w:hint="cs"/>
          <w:rtl/>
        </w:rPr>
        <w:t>«</w:t>
      </w:r>
      <w:r w:rsidR="00444089">
        <w:rPr>
          <w:rFonts w:hint="cs"/>
          <w:rtl/>
        </w:rPr>
        <w:t>مدعی</w:t>
      </w:r>
      <w:r>
        <w:rPr>
          <w:rFonts w:hint="cs"/>
          <w:rtl/>
        </w:rPr>
        <w:t>» کسی است که «</w:t>
      </w:r>
      <w:r w:rsidR="00444089">
        <w:rPr>
          <w:rFonts w:hint="cs"/>
          <w:rtl/>
        </w:rPr>
        <w:t>ان ترک تُرِک</w:t>
      </w:r>
      <w:r>
        <w:rPr>
          <w:rFonts w:hint="cs"/>
          <w:rtl/>
        </w:rPr>
        <w:t>»؛</w:t>
      </w:r>
      <w:r w:rsidR="00F759DA">
        <w:rPr>
          <w:rFonts w:hint="cs"/>
          <w:rtl/>
        </w:rPr>
        <w:t xml:space="preserve"> یعنی اگر او حرفش را رها کند نزاع فیصله پی</w:t>
      </w:r>
      <w:r w:rsidR="00F549C6">
        <w:rPr>
          <w:rFonts w:hint="cs"/>
          <w:rtl/>
        </w:rPr>
        <w:t>دا می</w:t>
      </w:r>
      <w:r w:rsidR="00F549C6">
        <w:rPr>
          <w:rFonts w:hint="eastAsia"/>
          <w:rtl/>
        </w:rPr>
        <w:t>‌</w:t>
      </w:r>
      <w:r w:rsidR="00F549C6">
        <w:rPr>
          <w:rFonts w:hint="cs"/>
          <w:rtl/>
        </w:rPr>
        <w:t xml:space="preserve">کند </w:t>
      </w:r>
      <w:r>
        <w:rPr>
          <w:rFonts w:hint="cs"/>
          <w:rtl/>
        </w:rPr>
        <w:t>و هر چیز در جای خود قرار دارد</w:t>
      </w:r>
      <w:r w:rsidR="00444089">
        <w:rPr>
          <w:rFonts w:hint="cs"/>
          <w:rtl/>
        </w:rPr>
        <w:t>.</w:t>
      </w:r>
      <w:r>
        <w:rPr>
          <w:rFonts w:hint="cs"/>
          <w:rtl/>
        </w:rPr>
        <w:t xml:space="preserve"> در این روایت</w:t>
      </w:r>
      <w:r w:rsidR="00F549C6">
        <w:rPr>
          <w:rFonts w:hint="cs"/>
          <w:rtl/>
        </w:rPr>
        <w:t xml:space="preserve"> بنا بر مسلک مشهور</w:t>
      </w:r>
      <w:r>
        <w:rPr>
          <w:rFonts w:hint="cs"/>
          <w:rtl/>
        </w:rPr>
        <w:t xml:space="preserve"> نیز</w:t>
      </w:r>
      <w:r w:rsidR="00F549C6">
        <w:rPr>
          <w:rFonts w:hint="cs"/>
          <w:rtl/>
        </w:rPr>
        <w:t xml:space="preserve"> حضرت </w:t>
      </w:r>
      <w:r w:rsidR="00444089">
        <w:rPr>
          <w:rFonts w:hint="cs"/>
          <w:rtl/>
        </w:rPr>
        <w:t>منک</w:t>
      </w:r>
      <w:r>
        <w:rPr>
          <w:rFonts w:hint="cs"/>
          <w:rtl/>
        </w:rPr>
        <w:t>ِ</w:t>
      </w:r>
      <w:r w:rsidR="00444089">
        <w:rPr>
          <w:rFonts w:hint="cs"/>
          <w:rtl/>
        </w:rPr>
        <w:t>ر</w:t>
      </w:r>
      <w:r w:rsidR="00F549C6">
        <w:rPr>
          <w:rFonts w:hint="cs"/>
          <w:rtl/>
        </w:rPr>
        <w:t xml:space="preserve"> است</w:t>
      </w:r>
      <w:r>
        <w:rPr>
          <w:rFonts w:hint="cs"/>
          <w:rtl/>
        </w:rPr>
        <w:t>، زیرا</w:t>
      </w:r>
      <w:r w:rsidR="00F549C6">
        <w:rPr>
          <w:rFonts w:hint="cs"/>
          <w:rtl/>
        </w:rPr>
        <w:t xml:space="preserve"> اگر طرف مقابلش ترک کند نزاع فیصله پیدا می کند</w:t>
      </w:r>
      <w:r>
        <w:rPr>
          <w:rFonts w:hint="cs"/>
          <w:rtl/>
        </w:rPr>
        <w:t>(</w:t>
      </w:r>
      <w:r w:rsidR="00F549C6">
        <w:rPr>
          <w:rFonts w:hint="cs"/>
          <w:rtl/>
        </w:rPr>
        <w:t>چرا که فدک در دست حضرت است</w:t>
      </w:r>
      <w:r>
        <w:rPr>
          <w:rFonts w:hint="cs"/>
          <w:rtl/>
        </w:rPr>
        <w:t xml:space="preserve"> و اگر طرف مقابل دعوا را رها کند همچنان در دست حضرت باقی می ماند</w:t>
      </w:r>
      <w:r w:rsidR="00F549C6">
        <w:rPr>
          <w:rFonts w:hint="cs"/>
          <w:rtl/>
        </w:rPr>
        <w:t>.</w:t>
      </w:r>
      <w:r>
        <w:rPr>
          <w:rFonts w:hint="cs"/>
          <w:rtl/>
        </w:rPr>
        <w:t>)</w:t>
      </w:r>
    </w:p>
    <w:p w:rsidR="00444089" w:rsidRDefault="001E26E2" w:rsidP="001E26E2">
      <w:pPr>
        <w:jc w:val="both"/>
        <w:rPr>
          <w:rtl/>
        </w:rPr>
      </w:pPr>
      <w:r>
        <w:rPr>
          <w:rFonts w:hint="cs"/>
          <w:rtl/>
        </w:rPr>
        <w:t>در نتیجه منکِر بودن حضرت در حدیث مذکور به معنای حجّیت قول ذی الید نیست.</w:t>
      </w:r>
    </w:p>
    <w:p w:rsidR="009354E7" w:rsidRDefault="009354E7" w:rsidP="00FD6B20">
      <w:pPr>
        <w:pStyle w:val="30"/>
        <w:jc w:val="both"/>
        <w:rPr>
          <w:rtl/>
        </w:rPr>
      </w:pPr>
      <w:bookmarkStart w:id="5" w:name="_Toc536677543"/>
      <w:r>
        <w:rPr>
          <w:rFonts w:hint="cs"/>
          <w:rtl/>
        </w:rPr>
        <w:t>تخلّص</w:t>
      </w:r>
      <w:bookmarkEnd w:id="5"/>
    </w:p>
    <w:p w:rsidR="001E26E2" w:rsidRDefault="001E26E2" w:rsidP="001D7187">
      <w:pPr>
        <w:jc w:val="both"/>
        <w:rPr>
          <w:rtl/>
        </w:rPr>
      </w:pPr>
      <w:r>
        <w:rPr>
          <w:rFonts w:hint="cs"/>
          <w:rtl/>
        </w:rPr>
        <w:t>مبنای مشهور در تشخیص مدعی از منکِر صحیح نیست؛ زیرا (همان طور</w:t>
      </w:r>
      <w:r w:rsidR="009354E7">
        <w:rPr>
          <w:rFonts w:hint="cs"/>
          <w:rtl/>
        </w:rPr>
        <w:t xml:space="preserve"> ک</w:t>
      </w:r>
      <w:r w:rsidR="00F549C6">
        <w:rPr>
          <w:rFonts w:hint="cs"/>
          <w:rtl/>
        </w:rPr>
        <w:t>ه در کتاب القضا</w:t>
      </w:r>
      <w:r w:rsidR="005428FE">
        <w:rPr>
          <w:rStyle w:val="ab"/>
          <w:rtl/>
        </w:rPr>
        <w:footnoteReference w:id="3"/>
      </w:r>
      <w:r w:rsidR="00F549C6">
        <w:rPr>
          <w:rFonts w:hint="cs"/>
          <w:rtl/>
        </w:rPr>
        <w:t xml:space="preserve"> بحث مدعی و منکر بیان شده و در بح</w:t>
      </w:r>
      <w:r w:rsidR="009354E7">
        <w:rPr>
          <w:rFonts w:hint="cs"/>
          <w:rtl/>
        </w:rPr>
        <w:t xml:space="preserve">ث </w:t>
      </w:r>
      <w:r w:rsidR="00F549C6">
        <w:rPr>
          <w:rFonts w:hint="cs"/>
          <w:rtl/>
        </w:rPr>
        <w:t>اجاره و مضاربه و امثال آن</w:t>
      </w:r>
      <w:r w:rsidR="009354E7">
        <w:rPr>
          <w:rFonts w:hint="cs"/>
          <w:rtl/>
        </w:rPr>
        <w:t xml:space="preserve"> هم به مناسبت در کلمات مرحوم حکیم</w:t>
      </w:r>
      <w:r w:rsidR="001621DD">
        <w:rPr>
          <w:rStyle w:val="ab"/>
          <w:rtl/>
        </w:rPr>
        <w:footnoteReference w:id="4"/>
      </w:r>
      <w:r w:rsidR="009354E7">
        <w:rPr>
          <w:rFonts w:hint="cs"/>
          <w:rtl/>
        </w:rPr>
        <w:t xml:space="preserve"> و مرحوم خوئی</w:t>
      </w:r>
      <w:r w:rsidR="001621DD">
        <w:rPr>
          <w:rStyle w:val="ab"/>
          <w:rtl/>
        </w:rPr>
        <w:footnoteReference w:id="5"/>
      </w:r>
      <w:r w:rsidR="009354E7">
        <w:rPr>
          <w:rFonts w:hint="cs"/>
          <w:rtl/>
        </w:rPr>
        <w:t xml:space="preserve"> آمده است.</w:t>
      </w:r>
      <w:r>
        <w:rPr>
          <w:rFonts w:hint="cs"/>
          <w:rtl/>
        </w:rPr>
        <w:t xml:space="preserve">) تعریف خاصی از مدّعی و منکِر در </w:t>
      </w:r>
      <w:r w:rsidR="001D7187">
        <w:rPr>
          <w:rFonts w:hint="cs"/>
          <w:rtl/>
        </w:rPr>
        <w:t>روایات</w:t>
      </w:r>
      <w:r>
        <w:rPr>
          <w:rFonts w:hint="cs"/>
          <w:rtl/>
        </w:rPr>
        <w:t xml:space="preserve"> وارد نشده است و وقتی به عرف رجوع می کنیم </w:t>
      </w:r>
      <w:r w:rsidR="00F549C6">
        <w:rPr>
          <w:rFonts w:hint="cs"/>
          <w:rtl/>
        </w:rPr>
        <w:t>این بدست می آید که مد</w:t>
      </w:r>
      <w:r>
        <w:rPr>
          <w:rFonts w:hint="cs"/>
          <w:rtl/>
        </w:rPr>
        <w:t>عی کسی است که قولش مخالف حجت باشد و منکِر کسی را گویند که قولش موافق حجت باشد.</w:t>
      </w:r>
      <w:r w:rsidR="00F549C6">
        <w:rPr>
          <w:rFonts w:hint="cs"/>
          <w:rtl/>
        </w:rPr>
        <w:t xml:space="preserve"> </w:t>
      </w:r>
    </w:p>
    <w:p w:rsidR="009354E7" w:rsidRPr="001E26E2" w:rsidRDefault="00F549C6" w:rsidP="004352BB">
      <w:pPr>
        <w:jc w:val="both"/>
        <w:rPr>
          <w:rFonts w:cs="Times New Roman"/>
          <w:rtl/>
        </w:rPr>
      </w:pPr>
      <w:r>
        <w:rPr>
          <w:rFonts w:hint="cs"/>
          <w:rtl/>
        </w:rPr>
        <w:t xml:space="preserve">اما اگر ملاک را </w:t>
      </w:r>
      <w:r w:rsidR="001E26E2">
        <w:rPr>
          <w:rFonts w:hint="cs"/>
          <w:rtl/>
        </w:rPr>
        <w:t>«</w:t>
      </w:r>
      <w:r>
        <w:rPr>
          <w:rFonts w:hint="cs"/>
          <w:rtl/>
        </w:rPr>
        <w:t>من ت</w:t>
      </w:r>
      <w:r w:rsidR="001E26E2">
        <w:rPr>
          <w:rFonts w:hint="cs"/>
          <w:rtl/>
        </w:rPr>
        <w:t>َ</w:t>
      </w:r>
      <w:r>
        <w:rPr>
          <w:rFonts w:hint="cs"/>
          <w:rtl/>
        </w:rPr>
        <w:t>ر</w:t>
      </w:r>
      <w:r w:rsidR="001E26E2">
        <w:rPr>
          <w:rFonts w:hint="cs"/>
          <w:rtl/>
        </w:rPr>
        <w:t>َ</w:t>
      </w:r>
      <w:r>
        <w:rPr>
          <w:rFonts w:hint="cs"/>
          <w:rtl/>
        </w:rPr>
        <w:t>ک</w:t>
      </w:r>
      <w:r w:rsidR="001E26E2">
        <w:rPr>
          <w:rFonts w:hint="cs"/>
          <w:rtl/>
        </w:rPr>
        <w:t>َ</w:t>
      </w:r>
      <w:r>
        <w:rPr>
          <w:rFonts w:hint="cs"/>
          <w:rtl/>
        </w:rPr>
        <w:t xml:space="preserve"> ت</w:t>
      </w:r>
      <w:r w:rsidR="001E26E2">
        <w:rPr>
          <w:rFonts w:hint="cs"/>
          <w:rtl/>
        </w:rPr>
        <w:t>ُ</w:t>
      </w:r>
      <w:r>
        <w:rPr>
          <w:rFonts w:hint="cs"/>
          <w:rtl/>
        </w:rPr>
        <w:t>ر</w:t>
      </w:r>
      <w:r w:rsidR="001E26E2">
        <w:rPr>
          <w:rFonts w:hint="cs"/>
          <w:rtl/>
        </w:rPr>
        <w:t>ِ</w:t>
      </w:r>
      <w:r>
        <w:rPr>
          <w:rFonts w:hint="cs"/>
          <w:rtl/>
        </w:rPr>
        <w:t>ک</w:t>
      </w:r>
      <w:r w:rsidR="001E26E2">
        <w:rPr>
          <w:rFonts w:hint="cs"/>
          <w:rtl/>
        </w:rPr>
        <w:t>َ» قرار دهیم،</w:t>
      </w:r>
      <w:r w:rsidR="008C1D72">
        <w:rPr>
          <w:rFonts w:hint="cs"/>
          <w:rtl/>
        </w:rPr>
        <w:t xml:space="preserve"> مواردی هست که </w:t>
      </w:r>
      <w:r w:rsidR="001E26E2">
        <w:rPr>
          <w:rFonts w:hint="cs"/>
          <w:rtl/>
        </w:rPr>
        <w:t>حتی مشهور قائل به مدّعی بودن شخصند ولی</w:t>
      </w:r>
      <w:r w:rsidR="008C1D72">
        <w:rPr>
          <w:rFonts w:hint="cs"/>
          <w:rtl/>
        </w:rPr>
        <w:t xml:space="preserve"> </w:t>
      </w:r>
      <w:r w:rsidR="001E26E2">
        <w:rPr>
          <w:rFonts w:hint="cs"/>
          <w:rtl/>
        </w:rPr>
        <w:t>«</w:t>
      </w:r>
      <w:r w:rsidR="008C1D72">
        <w:rPr>
          <w:rFonts w:hint="cs"/>
          <w:rtl/>
        </w:rPr>
        <w:t>من ترک ترک</w:t>
      </w:r>
      <w:r w:rsidR="001E26E2">
        <w:rPr>
          <w:rFonts w:hint="cs"/>
          <w:rtl/>
        </w:rPr>
        <w:t>»</w:t>
      </w:r>
      <w:r w:rsidR="008C1D72">
        <w:rPr>
          <w:rFonts w:hint="cs"/>
          <w:rtl/>
        </w:rPr>
        <w:t xml:space="preserve"> </w:t>
      </w:r>
      <w:r w:rsidR="001E26E2">
        <w:rPr>
          <w:rFonts w:hint="cs"/>
          <w:rtl/>
        </w:rPr>
        <w:t>بر او صادق نیست</w:t>
      </w:r>
      <w:r w:rsidR="008C1D72">
        <w:rPr>
          <w:rFonts w:hint="cs"/>
          <w:rtl/>
        </w:rPr>
        <w:t xml:space="preserve">، مثلا </w:t>
      </w:r>
      <w:r w:rsidR="001E26E2">
        <w:rPr>
          <w:rFonts w:hint="cs"/>
          <w:rtl/>
        </w:rPr>
        <w:t>زید</w:t>
      </w:r>
      <w:r>
        <w:rPr>
          <w:rFonts w:hint="cs"/>
          <w:rtl/>
        </w:rPr>
        <w:t xml:space="preserve"> </w:t>
      </w:r>
      <w:r w:rsidR="001E26E2">
        <w:rPr>
          <w:rFonts w:hint="cs"/>
          <w:rtl/>
        </w:rPr>
        <w:t>مالی را به عم</w:t>
      </w:r>
      <w:r w:rsidR="004352BB">
        <w:rPr>
          <w:rFonts w:hint="cs"/>
          <w:rtl/>
        </w:rPr>
        <w:t>رو قرض داده است. حال عمرو می گوید قرض را ادا کردم ولی زید می گوید خیر</w:t>
      </w:r>
      <w:r>
        <w:rPr>
          <w:rFonts w:hint="cs"/>
          <w:rtl/>
        </w:rPr>
        <w:t>.</w:t>
      </w:r>
      <w:r w:rsidR="008C1D72">
        <w:rPr>
          <w:rFonts w:hint="cs"/>
          <w:rtl/>
        </w:rPr>
        <w:t xml:space="preserve"> اگر در این مورد ملاک در مدعی و منکر این باشد که مدعی کسی است که ان ترک ترک، ا</w:t>
      </w:r>
      <w:r w:rsidR="004352BB">
        <w:rPr>
          <w:rFonts w:hint="cs"/>
          <w:rtl/>
        </w:rPr>
        <w:t>ین شخصی که قرض داده بود اگر دعوا</w:t>
      </w:r>
      <w:r w:rsidR="008C1D72">
        <w:rPr>
          <w:rFonts w:hint="cs"/>
          <w:rtl/>
        </w:rPr>
        <w:t xml:space="preserve"> را رها کند همه چیز سر جایش می ماند(تُرِک)</w:t>
      </w:r>
      <w:r w:rsidR="004352BB">
        <w:rPr>
          <w:rFonts w:hint="cs"/>
          <w:rtl/>
        </w:rPr>
        <w:t xml:space="preserve"> لذا طبق مبنای مشهور باید </w:t>
      </w:r>
      <w:r w:rsidR="004352BB" w:rsidRPr="004352BB">
        <w:rPr>
          <w:rFonts w:hint="cs"/>
          <w:u w:val="single"/>
          <w:rtl/>
        </w:rPr>
        <w:t>قرض دهنده</w:t>
      </w:r>
      <w:r w:rsidR="004352BB">
        <w:rPr>
          <w:rFonts w:hint="cs"/>
          <w:rtl/>
        </w:rPr>
        <w:t xml:space="preserve"> مدّعی به حساب آید،</w:t>
      </w:r>
      <w:r w:rsidR="008C1D72">
        <w:rPr>
          <w:rFonts w:hint="cs"/>
          <w:rtl/>
        </w:rPr>
        <w:t xml:space="preserve"> در حالی که</w:t>
      </w:r>
      <w:r w:rsidR="004352BB">
        <w:rPr>
          <w:rFonts w:hint="cs"/>
          <w:rtl/>
        </w:rPr>
        <w:t xml:space="preserve"> همه قائلند که </w:t>
      </w:r>
      <w:r w:rsidR="008C1D72" w:rsidRPr="004352BB">
        <w:rPr>
          <w:rFonts w:hint="cs"/>
          <w:u w:val="single"/>
          <w:rtl/>
        </w:rPr>
        <w:t>قرض گیرنده</w:t>
      </w:r>
      <w:r w:rsidR="008C1D72">
        <w:rPr>
          <w:rFonts w:hint="cs"/>
          <w:rtl/>
        </w:rPr>
        <w:t xml:space="preserve"> مدّعی محسوب می شود. </w:t>
      </w:r>
    </w:p>
    <w:p w:rsidR="008C1D72" w:rsidRDefault="00F549C6" w:rsidP="00B90934">
      <w:pPr>
        <w:jc w:val="both"/>
        <w:rPr>
          <w:rtl/>
        </w:rPr>
      </w:pPr>
      <w:r>
        <w:rPr>
          <w:rFonts w:hint="cs"/>
          <w:rtl/>
        </w:rPr>
        <w:lastRenderedPageBreak/>
        <w:t>لذا مرحوم حکیم در م</w:t>
      </w:r>
      <w:r w:rsidR="004352BB">
        <w:rPr>
          <w:rFonts w:hint="cs"/>
          <w:rtl/>
        </w:rPr>
        <w:t>ستمسک در کتاب الاجاره فرمودند</w:t>
      </w:r>
      <w:r w:rsidR="00B90934">
        <w:rPr>
          <w:rStyle w:val="ab"/>
          <w:rtl/>
        </w:rPr>
        <w:footnoteReference w:id="6"/>
      </w:r>
      <w:r w:rsidR="004352BB">
        <w:rPr>
          <w:rFonts w:hint="cs"/>
          <w:rtl/>
        </w:rPr>
        <w:t xml:space="preserve">: </w:t>
      </w:r>
      <w:r w:rsidR="009E2DC9">
        <w:rPr>
          <w:rFonts w:hint="cs"/>
          <w:rtl/>
        </w:rPr>
        <w:t>برای</w:t>
      </w:r>
      <w:r>
        <w:rPr>
          <w:rFonts w:hint="cs"/>
          <w:rtl/>
        </w:rPr>
        <w:t xml:space="preserve"> </w:t>
      </w:r>
      <w:r w:rsidR="009E2DC9">
        <w:rPr>
          <w:rFonts w:hint="cs"/>
          <w:rtl/>
        </w:rPr>
        <w:t xml:space="preserve">تعریف مدعی در مقابل منکر عبارات مختلفی ذکر شده </w:t>
      </w:r>
      <w:r w:rsidR="004352BB">
        <w:rPr>
          <w:rFonts w:hint="cs"/>
          <w:rtl/>
        </w:rPr>
        <w:t xml:space="preserve">است، </w:t>
      </w:r>
      <w:r w:rsidR="009E2DC9">
        <w:rPr>
          <w:rFonts w:hint="cs"/>
          <w:rtl/>
        </w:rPr>
        <w:t xml:space="preserve">مثل این که </w:t>
      </w:r>
      <w:r w:rsidR="004352BB">
        <w:rPr>
          <w:rFonts w:hint="cs"/>
          <w:rtl/>
        </w:rPr>
        <w:t>«</w:t>
      </w:r>
      <w:r w:rsidR="009E2DC9">
        <w:rPr>
          <w:rFonts w:hint="cs"/>
          <w:rtl/>
        </w:rPr>
        <w:t>من ترک الخصومه ترک</w:t>
      </w:r>
      <w:r w:rsidR="004352BB">
        <w:rPr>
          <w:rFonts w:hint="cs"/>
          <w:rtl/>
        </w:rPr>
        <w:t>»</w:t>
      </w:r>
      <w:r w:rsidR="009E2DC9">
        <w:rPr>
          <w:rFonts w:hint="cs"/>
          <w:rtl/>
        </w:rPr>
        <w:t>، بعضی</w:t>
      </w:r>
      <w:r w:rsidR="004352BB">
        <w:rPr>
          <w:rFonts w:hint="cs"/>
          <w:rtl/>
        </w:rPr>
        <w:t xml:space="preserve"> هم</w:t>
      </w:r>
      <w:r w:rsidR="009E2DC9">
        <w:rPr>
          <w:rFonts w:hint="cs"/>
          <w:rtl/>
        </w:rPr>
        <w:t xml:space="preserve"> گفت</w:t>
      </w:r>
      <w:r w:rsidR="004352BB">
        <w:rPr>
          <w:rFonts w:hint="cs"/>
          <w:rtl/>
        </w:rPr>
        <w:t>ه ا</w:t>
      </w:r>
      <w:r w:rsidR="009E2DC9">
        <w:rPr>
          <w:rFonts w:hint="cs"/>
          <w:rtl/>
        </w:rPr>
        <w:t xml:space="preserve">ند </w:t>
      </w:r>
      <w:r w:rsidR="004352BB">
        <w:rPr>
          <w:rFonts w:hint="cs"/>
          <w:rtl/>
        </w:rPr>
        <w:t xml:space="preserve">«مدعی کسی است </w:t>
      </w:r>
      <w:r w:rsidR="009E2DC9">
        <w:rPr>
          <w:rFonts w:hint="cs"/>
          <w:rtl/>
        </w:rPr>
        <w:t xml:space="preserve">که قولش مخالف </w:t>
      </w:r>
      <w:r w:rsidR="00B90934">
        <w:rPr>
          <w:rFonts w:hint="cs"/>
          <w:rtl/>
        </w:rPr>
        <w:t>ظاهر</w:t>
      </w:r>
      <w:r w:rsidR="009E2DC9">
        <w:rPr>
          <w:rFonts w:hint="cs"/>
          <w:rtl/>
        </w:rPr>
        <w:t xml:space="preserve"> باشد</w:t>
      </w:r>
      <w:r w:rsidR="004352BB">
        <w:rPr>
          <w:rFonts w:hint="cs"/>
          <w:rtl/>
        </w:rPr>
        <w:t>»، برخی هم</w:t>
      </w:r>
      <w:r w:rsidR="009E2DC9">
        <w:rPr>
          <w:rFonts w:hint="cs"/>
          <w:rtl/>
        </w:rPr>
        <w:t xml:space="preserve"> گفته اند</w:t>
      </w:r>
      <w:r w:rsidR="004352BB">
        <w:rPr>
          <w:rFonts w:hint="cs"/>
          <w:rtl/>
        </w:rPr>
        <w:t xml:space="preserve"> «مدّعی کسی است که</w:t>
      </w:r>
      <w:r w:rsidR="009E2DC9">
        <w:rPr>
          <w:rFonts w:hint="cs"/>
          <w:rtl/>
        </w:rPr>
        <w:t xml:space="preserve"> امر خفی</w:t>
      </w:r>
      <w:r w:rsidR="00B90934">
        <w:rPr>
          <w:rFonts w:hint="cs"/>
          <w:rtl/>
        </w:rPr>
        <w:t xml:space="preserve"> </w:t>
      </w:r>
      <w:r w:rsidR="009E2DC9">
        <w:rPr>
          <w:rFonts w:hint="cs"/>
          <w:rtl/>
        </w:rPr>
        <w:t>را ادعا کند</w:t>
      </w:r>
      <w:r w:rsidR="00B90934">
        <w:rPr>
          <w:rFonts w:hint="cs"/>
          <w:rtl/>
        </w:rPr>
        <w:t>» و هم چنین تعاریفی دیگر.</w:t>
      </w:r>
      <w:r w:rsidR="009E2DC9">
        <w:rPr>
          <w:rFonts w:hint="cs"/>
          <w:rtl/>
        </w:rPr>
        <w:t xml:space="preserve"> اگر چه تعاریف مختلف است، این تعریف ها لوازمی دارد که خود تعریف کننده ها به آن ملتزم نیستند. </w:t>
      </w:r>
      <w:r w:rsidR="008C1D72">
        <w:rPr>
          <w:rFonts w:hint="cs"/>
          <w:rtl/>
        </w:rPr>
        <w:t>تعریف صحیح این است که مدعی کسی است که قولش موافق حجت باشد.</w:t>
      </w:r>
    </w:p>
    <w:p w:rsidR="009E2DC9" w:rsidRDefault="009E2DC9" w:rsidP="00B90934">
      <w:pPr>
        <w:jc w:val="both"/>
        <w:rPr>
          <w:rtl/>
        </w:rPr>
      </w:pPr>
      <w:r>
        <w:rPr>
          <w:rFonts w:hint="cs"/>
          <w:rtl/>
        </w:rPr>
        <w:t xml:space="preserve">ایشان این </w:t>
      </w:r>
      <w:r w:rsidR="00F273DD">
        <w:rPr>
          <w:rFonts w:hint="cs"/>
          <w:rtl/>
        </w:rPr>
        <w:t>نظر</w:t>
      </w:r>
      <w:r>
        <w:rPr>
          <w:rFonts w:hint="cs"/>
          <w:rtl/>
        </w:rPr>
        <w:t xml:space="preserve"> را از تعبیر </w:t>
      </w:r>
      <w:r w:rsidR="00F273DD">
        <w:rPr>
          <w:rFonts w:hint="cs"/>
          <w:rtl/>
        </w:rPr>
        <w:t>«</w:t>
      </w:r>
      <w:r>
        <w:rPr>
          <w:rFonts w:hint="cs"/>
          <w:rtl/>
        </w:rPr>
        <w:t>ادّعاء</w:t>
      </w:r>
      <w:r w:rsidR="00F273DD">
        <w:rPr>
          <w:rFonts w:hint="cs"/>
          <w:rtl/>
        </w:rPr>
        <w:t>»</w:t>
      </w:r>
      <w:r>
        <w:rPr>
          <w:rFonts w:hint="cs"/>
          <w:rtl/>
        </w:rPr>
        <w:t xml:space="preserve"> در آورده است، در روایت </w:t>
      </w:r>
      <w:r w:rsidR="00F273DD">
        <w:rPr>
          <w:rFonts w:hint="cs"/>
          <w:rtl/>
        </w:rPr>
        <w:t>آمده است</w:t>
      </w:r>
      <w:r>
        <w:rPr>
          <w:rFonts w:hint="cs"/>
          <w:rtl/>
        </w:rPr>
        <w:t xml:space="preserve"> که </w:t>
      </w:r>
      <w:r w:rsidR="00F273DD">
        <w:rPr>
          <w:rFonts w:hint="cs"/>
          <w:rtl/>
        </w:rPr>
        <w:t>«</w:t>
      </w:r>
      <w:r>
        <w:rPr>
          <w:rFonts w:hint="cs"/>
          <w:rtl/>
        </w:rPr>
        <w:t>بیّنه بر مدّعی است</w:t>
      </w:r>
      <w:r w:rsidR="00F273DD">
        <w:rPr>
          <w:rFonts w:hint="cs"/>
          <w:rtl/>
        </w:rPr>
        <w:t>»</w:t>
      </w:r>
      <w:r w:rsidR="002F615A">
        <w:rPr>
          <w:rStyle w:val="ab"/>
          <w:rtl/>
        </w:rPr>
        <w:footnoteReference w:id="7"/>
      </w:r>
      <w:r w:rsidR="00174977">
        <w:rPr>
          <w:rFonts w:hint="cs"/>
          <w:rtl/>
        </w:rPr>
        <w:t xml:space="preserve">. </w:t>
      </w:r>
      <w:r w:rsidR="00B90934">
        <w:rPr>
          <w:rFonts w:hint="cs"/>
          <w:rtl/>
        </w:rPr>
        <w:t>این واژه</w:t>
      </w:r>
      <w:r>
        <w:rPr>
          <w:rFonts w:hint="cs"/>
          <w:rtl/>
        </w:rPr>
        <w:t xml:space="preserve"> افتعال از دعا است</w:t>
      </w:r>
      <w:r w:rsidR="00174977">
        <w:rPr>
          <w:rFonts w:hint="cs"/>
          <w:rtl/>
        </w:rPr>
        <w:t>؛</w:t>
      </w:r>
      <w:r>
        <w:rPr>
          <w:rFonts w:hint="cs"/>
          <w:rtl/>
        </w:rPr>
        <w:t xml:space="preserve"> یعنی طلب بالقول که </w:t>
      </w:r>
      <w:r w:rsidR="00174977">
        <w:rPr>
          <w:rFonts w:hint="cs"/>
          <w:rtl/>
        </w:rPr>
        <w:t>در جایی است که آن امر مطلوب،</w:t>
      </w:r>
      <w:r>
        <w:rPr>
          <w:rFonts w:hint="cs"/>
          <w:rtl/>
        </w:rPr>
        <w:t xml:space="preserve"> نزد شخص حاضر نباشد.</w:t>
      </w:r>
      <w:r w:rsidR="00174977">
        <w:rPr>
          <w:rFonts w:hint="cs"/>
          <w:rtl/>
        </w:rPr>
        <w:t xml:space="preserve"> اما </w:t>
      </w:r>
      <w:r>
        <w:rPr>
          <w:rFonts w:hint="cs"/>
          <w:rtl/>
        </w:rPr>
        <w:t xml:space="preserve"> کسی که مقابل مد</w:t>
      </w:r>
      <w:r w:rsidR="00174977">
        <w:rPr>
          <w:rFonts w:hint="cs"/>
          <w:rtl/>
        </w:rPr>
        <w:t>ّ</w:t>
      </w:r>
      <w:r>
        <w:rPr>
          <w:rFonts w:hint="cs"/>
          <w:rtl/>
        </w:rPr>
        <w:t>عی است مطلوب نزد او حاصل است</w:t>
      </w:r>
      <w:r w:rsidR="00174977">
        <w:rPr>
          <w:rFonts w:hint="cs"/>
          <w:rtl/>
        </w:rPr>
        <w:t>؛</w:t>
      </w:r>
      <w:r>
        <w:rPr>
          <w:rFonts w:hint="cs"/>
          <w:rtl/>
        </w:rPr>
        <w:t xml:space="preserve"> زیرا حجت دارد. </w:t>
      </w:r>
    </w:p>
    <w:p w:rsidR="00247242" w:rsidRDefault="009E2DC9" w:rsidP="00926693">
      <w:pPr>
        <w:jc w:val="both"/>
        <w:rPr>
          <w:rtl/>
        </w:rPr>
      </w:pPr>
      <w:r w:rsidRPr="00DD7FF5">
        <w:rPr>
          <w:rFonts w:hint="cs"/>
          <w:highlight w:val="yellow"/>
          <w:rtl/>
        </w:rPr>
        <w:t xml:space="preserve">کلام مرحوم حکیم </w:t>
      </w:r>
      <w:r w:rsidR="00926693">
        <w:rPr>
          <w:rFonts w:hint="cs"/>
          <w:highlight w:val="yellow"/>
          <w:rtl/>
        </w:rPr>
        <w:t xml:space="preserve"> </w:t>
      </w:r>
      <w:proofErr w:type="spellStart"/>
      <w:r w:rsidR="00926693">
        <w:rPr>
          <w:rFonts w:hint="cs"/>
          <w:highlight w:val="yellow"/>
          <w:rtl/>
        </w:rPr>
        <w:t>دراستفاده</w:t>
      </w:r>
      <w:proofErr w:type="spellEnd"/>
      <w:r w:rsidR="00926693">
        <w:rPr>
          <w:rFonts w:hint="cs"/>
          <w:highlight w:val="yellow"/>
          <w:rtl/>
        </w:rPr>
        <w:t xml:space="preserve"> از </w:t>
      </w:r>
      <w:proofErr w:type="spellStart"/>
      <w:r w:rsidR="00926693">
        <w:rPr>
          <w:rFonts w:hint="cs"/>
          <w:highlight w:val="yellow"/>
          <w:rtl/>
        </w:rPr>
        <w:t>ريشه</w:t>
      </w:r>
      <w:proofErr w:type="spellEnd"/>
      <w:r w:rsidR="00926693">
        <w:rPr>
          <w:rFonts w:hint="cs"/>
          <w:highlight w:val="yellow"/>
          <w:rtl/>
        </w:rPr>
        <w:t xml:space="preserve"> لغوی </w:t>
      </w:r>
      <w:r w:rsidRPr="00DD7FF5">
        <w:rPr>
          <w:rFonts w:hint="cs"/>
          <w:highlight w:val="yellow"/>
          <w:rtl/>
        </w:rPr>
        <w:t xml:space="preserve">حرف </w:t>
      </w:r>
      <w:proofErr w:type="spellStart"/>
      <w:r w:rsidRPr="00DD7FF5">
        <w:rPr>
          <w:rFonts w:hint="cs"/>
          <w:highlight w:val="yellow"/>
          <w:rtl/>
        </w:rPr>
        <w:t>بعیدی</w:t>
      </w:r>
      <w:proofErr w:type="spellEnd"/>
      <w:r w:rsidRPr="00DD7FF5">
        <w:rPr>
          <w:rFonts w:hint="cs"/>
          <w:highlight w:val="yellow"/>
          <w:rtl/>
        </w:rPr>
        <w:t xml:space="preserve"> نیست</w:t>
      </w:r>
      <w:r>
        <w:rPr>
          <w:rFonts w:hint="cs"/>
          <w:rtl/>
        </w:rPr>
        <w:t>.</w:t>
      </w:r>
      <w:r w:rsidR="00926693">
        <w:rPr>
          <w:rFonts w:hint="cs"/>
          <w:rtl/>
        </w:rPr>
        <w:t xml:space="preserve"> </w:t>
      </w:r>
      <w:proofErr w:type="spellStart"/>
      <w:r w:rsidR="00926693">
        <w:rPr>
          <w:rFonts w:hint="cs"/>
          <w:rtl/>
        </w:rPr>
        <w:t>اگردراين</w:t>
      </w:r>
      <w:proofErr w:type="spellEnd"/>
      <w:r w:rsidR="00926693">
        <w:rPr>
          <w:rFonts w:hint="cs"/>
          <w:rtl/>
        </w:rPr>
        <w:t xml:space="preserve"> قسمت هم </w:t>
      </w:r>
      <w:proofErr w:type="spellStart"/>
      <w:r w:rsidR="00926693">
        <w:rPr>
          <w:rFonts w:hint="cs"/>
          <w:rtl/>
        </w:rPr>
        <w:t>تشکيک</w:t>
      </w:r>
      <w:proofErr w:type="spellEnd"/>
      <w:r w:rsidR="00926693">
        <w:rPr>
          <w:rFonts w:hint="cs"/>
          <w:rtl/>
        </w:rPr>
        <w:t xml:space="preserve"> شود اصل مدعی که ملاک </w:t>
      </w:r>
      <w:proofErr w:type="spellStart"/>
      <w:r w:rsidR="00926693">
        <w:rPr>
          <w:rFonts w:hint="cs"/>
          <w:rtl/>
        </w:rPr>
        <w:t>منکرومدعی</w:t>
      </w:r>
      <w:proofErr w:type="spellEnd"/>
      <w:r w:rsidR="00926693">
        <w:rPr>
          <w:rFonts w:hint="cs"/>
          <w:rtl/>
        </w:rPr>
        <w:t xml:space="preserve"> بودن </w:t>
      </w:r>
      <w:r>
        <w:rPr>
          <w:rFonts w:hint="cs"/>
          <w:rtl/>
        </w:rPr>
        <w:t xml:space="preserve">حجت داشتن و </w:t>
      </w:r>
      <w:r w:rsidR="00926693">
        <w:rPr>
          <w:rFonts w:hint="cs"/>
          <w:rtl/>
        </w:rPr>
        <w:t xml:space="preserve">حجت </w:t>
      </w:r>
      <w:r>
        <w:rPr>
          <w:rFonts w:hint="cs"/>
          <w:rtl/>
        </w:rPr>
        <w:t xml:space="preserve">نداشتن </w:t>
      </w:r>
      <w:r w:rsidR="00926693">
        <w:rPr>
          <w:rFonts w:hint="cs"/>
          <w:rtl/>
        </w:rPr>
        <w:t xml:space="preserve">است </w:t>
      </w:r>
      <w:r>
        <w:rPr>
          <w:rFonts w:hint="cs"/>
          <w:rtl/>
        </w:rPr>
        <w:t>مبنای صحیح</w:t>
      </w:r>
      <w:r w:rsidR="00926693">
        <w:rPr>
          <w:rFonts w:hint="cs"/>
          <w:rtl/>
        </w:rPr>
        <w:t>ی</w:t>
      </w:r>
      <w:r>
        <w:rPr>
          <w:rFonts w:hint="cs"/>
          <w:rtl/>
        </w:rPr>
        <w:t xml:space="preserve"> است</w:t>
      </w:r>
      <w:r w:rsidR="00926693">
        <w:rPr>
          <w:rFonts w:hint="cs"/>
          <w:rtl/>
        </w:rPr>
        <w:t>،</w:t>
      </w:r>
      <w:r>
        <w:rPr>
          <w:rFonts w:hint="cs"/>
          <w:rtl/>
        </w:rPr>
        <w:t xml:space="preserve"> در نتیجه روایت حمّاد بن عیسی دلالت می کند که ید حجّت است، زیرا حضرت بر اساس آن می فرمایند که ما منکِریم.</w:t>
      </w:r>
    </w:p>
    <w:p w:rsidR="00830A61" w:rsidRDefault="00830A61" w:rsidP="00830A61">
      <w:pPr>
        <w:pStyle w:val="20"/>
        <w:rPr>
          <w:rtl/>
        </w:rPr>
      </w:pPr>
      <w:bookmarkStart w:id="6" w:name="_Toc536677544"/>
      <w:r>
        <w:rPr>
          <w:rFonts w:hint="cs"/>
          <w:rtl/>
        </w:rPr>
        <w:t>مناقشه دلالی 2</w:t>
      </w:r>
      <w:bookmarkEnd w:id="6"/>
    </w:p>
    <w:p w:rsidR="00247242" w:rsidRDefault="00F8431F" w:rsidP="00926693">
      <w:pPr>
        <w:jc w:val="both"/>
        <w:rPr>
          <w:rtl/>
        </w:rPr>
      </w:pPr>
      <w:r w:rsidRPr="0003126C">
        <w:rPr>
          <w:rFonts w:hint="cs"/>
          <w:color w:val="000080"/>
          <w:rtl/>
        </w:rPr>
        <w:t xml:space="preserve">همان اشکالی که </w:t>
      </w:r>
      <w:r w:rsidR="00247242" w:rsidRPr="0003126C">
        <w:rPr>
          <w:rFonts w:hint="cs"/>
          <w:color w:val="000080"/>
          <w:rtl/>
        </w:rPr>
        <w:t>بعضی از اعلام</w:t>
      </w:r>
      <w:r w:rsidR="00866217" w:rsidRPr="0003126C">
        <w:rPr>
          <w:rStyle w:val="ab"/>
          <w:color w:val="000080"/>
          <w:rtl/>
        </w:rPr>
        <w:footnoteReference w:id="8"/>
      </w:r>
      <w:r w:rsidR="00247242" w:rsidRPr="0003126C">
        <w:rPr>
          <w:rFonts w:hint="cs"/>
          <w:color w:val="000080"/>
          <w:rtl/>
        </w:rPr>
        <w:t xml:space="preserve"> در مورد روایت قبل کردند</w:t>
      </w:r>
      <w:r w:rsidR="00DD7FF5" w:rsidRPr="0003126C">
        <w:rPr>
          <w:rFonts w:hint="cs"/>
          <w:color w:val="000080"/>
          <w:rtl/>
        </w:rPr>
        <w:t>(اختصاص به ید مؤکّده)،</w:t>
      </w:r>
      <w:r w:rsidR="00247242" w:rsidRPr="0003126C">
        <w:rPr>
          <w:rFonts w:hint="cs"/>
          <w:color w:val="000080"/>
          <w:rtl/>
        </w:rPr>
        <w:t xml:space="preserve"> در این جا هم وارد نمودند</w:t>
      </w:r>
      <w:r w:rsidR="00DD7FF5" w:rsidRPr="0003126C">
        <w:rPr>
          <w:rFonts w:hint="cs"/>
          <w:color w:val="000080"/>
          <w:rtl/>
        </w:rPr>
        <w:t>؛</w:t>
      </w:r>
      <w:r w:rsidR="00DD7FF5">
        <w:rPr>
          <w:rFonts w:hint="cs"/>
          <w:rtl/>
        </w:rPr>
        <w:t xml:space="preserve"> </w:t>
      </w:r>
      <w:r w:rsidR="00247242">
        <w:rPr>
          <w:rFonts w:hint="cs"/>
          <w:rtl/>
        </w:rPr>
        <w:t xml:space="preserve">زیرا در بعضی </w:t>
      </w:r>
      <w:r w:rsidR="00BD3710">
        <w:rPr>
          <w:rFonts w:hint="cs"/>
          <w:rtl/>
        </w:rPr>
        <w:t>از نقل های این روایت چنین آمده است:</w:t>
      </w:r>
      <w:r w:rsidR="00247242">
        <w:rPr>
          <w:rFonts w:hint="cs"/>
          <w:rtl/>
        </w:rPr>
        <w:t xml:space="preserve"> </w:t>
      </w:r>
      <w:r>
        <w:rPr>
          <w:rFonts w:hint="cs"/>
          <w:rtl/>
        </w:rPr>
        <w:t>مالی که</w:t>
      </w:r>
      <w:r w:rsidR="00F055E7">
        <w:rPr>
          <w:rFonts w:hint="cs"/>
          <w:rtl/>
        </w:rPr>
        <w:t xml:space="preserve"> در دست مسلمانان است و«</w:t>
      </w:r>
      <w:r w:rsidR="00F055E7" w:rsidRPr="00D40D79">
        <w:rPr>
          <w:rFonts w:hint="cs"/>
          <w:color w:val="008000"/>
          <w:rtl/>
        </w:rPr>
        <w:t>یملکونه</w:t>
      </w:r>
      <w:r w:rsidR="00F055E7">
        <w:rPr>
          <w:rFonts w:hint="cs"/>
          <w:rtl/>
        </w:rPr>
        <w:t>»، مالی که در دست من(علی ع) است و «</w:t>
      </w:r>
      <w:r w:rsidR="00F055E7" w:rsidRPr="00D40D79">
        <w:rPr>
          <w:rFonts w:hint="cs"/>
          <w:color w:val="008000"/>
          <w:rtl/>
        </w:rPr>
        <w:t>مَلَکت</w:t>
      </w:r>
      <w:r w:rsidR="00F055E7">
        <w:rPr>
          <w:rFonts w:hint="cs"/>
          <w:color w:val="008000"/>
          <w:rtl/>
        </w:rPr>
        <w:t>ُ</w:t>
      </w:r>
      <w:r w:rsidR="00F055E7">
        <w:rPr>
          <w:rFonts w:hint="cs"/>
          <w:rtl/>
        </w:rPr>
        <w:t>» یا در نقلی دیگر</w:t>
      </w:r>
      <w:r w:rsidR="00F055E7">
        <w:rPr>
          <w:rStyle w:val="ab"/>
          <w:rtl/>
        </w:rPr>
        <w:footnoteReference w:id="9"/>
      </w:r>
      <w:r w:rsidR="00F055E7">
        <w:rPr>
          <w:rFonts w:hint="cs"/>
          <w:rtl/>
        </w:rPr>
        <w:t xml:space="preserve"> که اشاره به حضرت زهرا دارد می فرماید«</w:t>
      </w:r>
      <w:r w:rsidR="00F055E7" w:rsidRPr="00F055E7">
        <w:rPr>
          <w:rFonts w:hint="cs"/>
          <w:color w:val="008000"/>
          <w:rtl/>
        </w:rPr>
        <w:t>مَلَکَت</w:t>
      </w:r>
      <w:r w:rsidR="00F055E7">
        <w:rPr>
          <w:rFonts w:hint="cs"/>
          <w:rtl/>
        </w:rPr>
        <w:t>»</w:t>
      </w:r>
      <w:r w:rsidR="00BD3710">
        <w:rPr>
          <w:rFonts w:hint="cs"/>
          <w:rtl/>
        </w:rPr>
        <w:t>. این ظهور در این دارد که</w:t>
      </w:r>
      <w:r w:rsidR="00247242">
        <w:rPr>
          <w:rFonts w:hint="cs"/>
          <w:rtl/>
        </w:rPr>
        <w:t xml:space="preserve"> مراد از ید، استیلاء کامل است. لذا این روایت بنا بر این نقل فقط بر اعتبار </w:t>
      </w:r>
      <w:r w:rsidR="00247242" w:rsidRPr="00B90934">
        <w:rPr>
          <w:rFonts w:hint="cs"/>
          <w:u w:val="single"/>
          <w:rtl/>
        </w:rPr>
        <w:t>ید مؤکّده</w:t>
      </w:r>
      <w:r w:rsidR="00247242">
        <w:rPr>
          <w:rFonts w:hint="cs"/>
          <w:rtl/>
        </w:rPr>
        <w:t xml:space="preserve"> دلالت می کند.</w:t>
      </w:r>
      <w:r w:rsidR="009937CB">
        <w:rPr>
          <w:rFonts w:hint="cs"/>
          <w:rtl/>
        </w:rPr>
        <w:t xml:space="preserve"> در نتیجه</w:t>
      </w:r>
      <w:r>
        <w:rPr>
          <w:rFonts w:hint="cs"/>
          <w:rtl/>
        </w:rPr>
        <w:t xml:space="preserve"> تعارض نقلین رخ می دهد و باید به م</w:t>
      </w:r>
      <w:r w:rsidR="009937CB">
        <w:rPr>
          <w:rFonts w:hint="cs"/>
          <w:rtl/>
        </w:rPr>
        <w:t>قدار متیقّن از مضمون دو نقل</w:t>
      </w:r>
      <w:r>
        <w:rPr>
          <w:rFonts w:hint="cs"/>
          <w:rtl/>
        </w:rPr>
        <w:t xml:space="preserve"> اخذ کرد، </w:t>
      </w:r>
      <w:proofErr w:type="spellStart"/>
      <w:r w:rsidR="00926693">
        <w:rPr>
          <w:rFonts w:hint="cs"/>
          <w:rtl/>
        </w:rPr>
        <w:t>وچون</w:t>
      </w:r>
      <w:proofErr w:type="spellEnd"/>
      <w:r>
        <w:rPr>
          <w:rFonts w:hint="cs"/>
          <w:rtl/>
        </w:rPr>
        <w:t xml:space="preserve"> احتمال می دهیم که </w:t>
      </w:r>
      <w:r w:rsidR="0003126C">
        <w:rPr>
          <w:rFonts w:hint="cs"/>
          <w:rtl/>
        </w:rPr>
        <w:t>آن چه از معصوم ع صادر شده است</w:t>
      </w:r>
      <w:r>
        <w:rPr>
          <w:rFonts w:hint="cs"/>
          <w:rtl/>
        </w:rPr>
        <w:t xml:space="preserve"> همین نقل با قید «</w:t>
      </w:r>
      <w:proofErr w:type="spellStart"/>
      <w:r>
        <w:rPr>
          <w:rFonts w:hint="cs"/>
          <w:rtl/>
        </w:rPr>
        <w:t>یملکونه</w:t>
      </w:r>
      <w:proofErr w:type="spellEnd"/>
      <w:r>
        <w:rPr>
          <w:rFonts w:hint="cs"/>
          <w:rtl/>
        </w:rPr>
        <w:t>» باشد</w:t>
      </w:r>
      <w:r w:rsidR="00926693">
        <w:rPr>
          <w:rFonts w:hint="cs"/>
          <w:rtl/>
        </w:rPr>
        <w:t xml:space="preserve"> </w:t>
      </w:r>
      <w:proofErr w:type="spellStart"/>
      <w:r w:rsidR="00926693">
        <w:rPr>
          <w:rFonts w:hint="cs"/>
          <w:rtl/>
        </w:rPr>
        <w:t>درنتيجه</w:t>
      </w:r>
      <w:proofErr w:type="spellEnd"/>
      <w:r w:rsidR="00926693">
        <w:rPr>
          <w:rFonts w:hint="cs"/>
          <w:rtl/>
        </w:rPr>
        <w:t xml:space="preserve"> </w:t>
      </w:r>
      <w:proofErr w:type="spellStart"/>
      <w:r w:rsidR="00926693">
        <w:rPr>
          <w:rFonts w:hint="cs"/>
          <w:rtl/>
        </w:rPr>
        <w:t>بيش</w:t>
      </w:r>
      <w:proofErr w:type="spellEnd"/>
      <w:r w:rsidR="00926693">
        <w:rPr>
          <w:rFonts w:hint="cs"/>
          <w:rtl/>
        </w:rPr>
        <w:t xml:space="preserve"> از </w:t>
      </w:r>
      <w:proofErr w:type="spellStart"/>
      <w:r w:rsidR="00926693">
        <w:rPr>
          <w:rFonts w:hint="cs"/>
          <w:rtl/>
        </w:rPr>
        <w:t>حجيت</w:t>
      </w:r>
      <w:proofErr w:type="spellEnd"/>
      <w:r w:rsidR="00926693">
        <w:rPr>
          <w:rFonts w:hint="cs"/>
          <w:rtl/>
        </w:rPr>
        <w:t xml:space="preserve"> </w:t>
      </w:r>
      <w:proofErr w:type="spellStart"/>
      <w:r w:rsidR="00926693">
        <w:rPr>
          <w:rFonts w:hint="cs"/>
          <w:rtl/>
        </w:rPr>
        <w:t>يد</w:t>
      </w:r>
      <w:proofErr w:type="spellEnd"/>
      <w:r w:rsidR="00926693">
        <w:rPr>
          <w:rFonts w:hint="cs"/>
          <w:rtl/>
        </w:rPr>
        <w:t xml:space="preserve"> </w:t>
      </w:r>
      <w:proofErr w:type="spellStart"/>
      <w:r w:rsidR="00926693">
        <w:rPr>
          <w:rFonts w:hint="cs"/>
          <w:rtl/>
        </w:rPr>
        <w:t>مؤکده</w:t>
      </w:r>
      <w:proofErr w:type="spellEnd"/>
      <w:r w:rsidR="00926693">
        <w:rPr>
          <w:rFonts w:hint="cs"/>
          <w:rtl/>
        </w:rPr>
        <w:t xml:space="preserve"> ثابت </w:t>
      </w:r>
      <w:proofErr w:type="spellStart"/>
      <w:r w:rsidR="00926693">
        <w:rPr>
          <w:rFonts w:hint="cs"/>
          <w:rtl/>
        </w:rPr>
        <w:t>نمی</w:t>
      </w:r>
      <w:proofErr w:type="spellEnd"/>
      <w:r w:rsidR="00926693">
        <w:rPr>
          <w:rFonts w:hint="cs"/>
          <w:rtl/>
        </w:rPr>
        <w:t xml:space="preserve"> شود</w:t>
      </w:r>
      <w:r>
        <w:rPr>
          <w:rFonts w:hint="cs"/>
          <w:rtl/>
        </w:rPr>
        <w:t>.</w:t>
      </w:r>
    </w:p>
    <w:p w:rsidR="00247242" w:rsidRDefault="00247242" w:rsidP="00F8431F">
      <w:pPr>
        <w:pStyle w:val="30"/>
        <w:rPr>
          <w:rtl/>
        </w:rPr>
      </w:pPr>
      <w:bookmarkStart w:id="7" w:name="_Toc536677545"/>
      <w:r>
        <w:rPr>
          <w:rFonts w:hint="cs"/>
          <w:rtl/>
        </w:rPr>
        <w:lastRenderedPageBreak/>
        <w:t>تخلّص</w:t>
      </w:r>
      <w:bookmarkEnd w:id="7"/>
    </w:p>
    <w:p w:rsidR="00B90934" w:rsidRDefault="00B90934" w:rsidP="00BD3710">
      <w:pPr>
        <w:jc w:val="both"/>
        <w:rPr>
          <w:rtl/>
        </w:rPr>
      </w:pPr>
      <w:r w:rsidRPr="0003126C">
        <w:rPr>
          <w:rFonts w:hint="cs"/>
          <w:b/>
          <w:bCs/>
          <w:rtl/>
        </w:rPr>
        <w:t>اوّلا</w:t>
      </w:r>
      <w:r>
        <w:rPr>
          <w:rFonts w:hint="cs"/>
          <w:rtl/>
        </w:rPr>
        <w:t xml:space="preserve">: </w:t>
      </w:r>
      <w:r w:rsidR="00247242">
        <w:rPr>
          <w:rFonts w:hint="cs"/>
          <w:rtl/>
        </w:rPr>
        <w:t xml:space="preserve">یملکونه به معنای استیلاء کامل نیست بلکه قید توضیحی است و دلالتی بر </w:t>
      </w:r>
      <w:r w:rsidR="00BD3710">
        <w:rPr>
          <w:rFonts w:hint="cs"/>
          <w:rtl/>
        </w:rPr>
        <w:t>مؤکّد بودن ید</w:t>
      </w:r>
      <w:r w:rsidR="00247242">
        <w:rPr>
          <w:rFonts w:hint="cs"/>
          <w:rtl/>
        </w:rPr>
        <w:t xml:space="preserve"> ندارد.</w:t>
      </w:r>
      <w:r w:rsidR="00F8431F">
        <w:rPr>
          <w:rFonts w:hint="cs"/>
          <w:rtl/>
        </w:rPr>
        <w:t xml:space="preserve"> </w:t>
      </w:r>
    </w:p>
    <w:p w:rsidR="00247242" w:rsidRDefault="00B90934" w:rsidP="006869D0">
      <w:pPr>
        <w:jc w:val="both"/>
        <w:rPr>
          <w:rtl/>
        </w:rPr>
      </w:pPr>
      <w:r w:rsidRPr="0003126C">
        <w:rPr>
          <w:rFonts w:hint="cs"/>
          <w:b/>
          <w:bCs/>
          <w:rtl/>
        </w:rPr>
        <w:t>ثانیا</w:t>
      </w:r>
      <w:r>
        <w:rPr>
          <w:rFonts w:hint="cs"/>
          <w:rtl/>
        </w:rPr>
        <w:t xml:space="preserve">: </w:t>
      </w:r>
      <w:r w:rsidR="00F8431F">
        <w:rPr>
          <w:rFonts w:hint="cs"/>
          <w:rtl/>
        </w:rPr>
        <w:t>همین تعبیر یملکونه</w:t>
      </w:r>
      <w:r w:rsidR="00BD3710">
        <w:rPr>
          <w:rFonts w:hint="cs"/>
          <w:rtl/>
        </w:rPr>
        <w:t xml:space="preserve"> ظهور در این دارد که نفس</w:t>
      </w:r>
      <w:r w:rsidR="00BD3710" w:rsidRPr="00BD3710">
        <w:rPr>
          <w:rFonts w:hint="cs"/>
          <w:u w:val="single"/>
          <w:rtl/>
        </w:rPr>
        <w:t xml:space="preserve"> ید</w:t>
      </w:r>
      <w:r w:rsidR="00BD3710">
        <w:rPr>
          <w:rFonts w:hint="cs"/>
          <w:u w:val="single"/>
          <w:rtl/>
        </w:rPr>
        <w:t>،</w:t>
      </w:r>
      <w:r w:rsidR="00BD3710">
        <w:rPr>
          <w:rFonts w:hint="cs"/>
          <w:rtl/>
        </w:rPr>
        <w:t xml:space="preserve"> </w:t>
      </w:r>
      <w:proofErr w:type="spellStart"/>
      <w:r w:rsidR="00F8431F">
        <w:rPr>
          <w:rFonts w:hint="cs"/>
          <w:rtl/>
        </w:rPr>
        <w:t>اماره</w:t>
      </w:r>
      <w:proofErr w:type="spellEnd"/>
      <w:r w:rsidR="00F8431F">
        <w:rPr>
          <w:rFonts w:hint="cs"/>
          <w:rtl/>
        </w:rPr>
        <w:t xml:space="preserve"> </w:t>
      </w:r>
      <w:proofErr w:type="spellStart"/>
      <w:r w:rsidR="00F8431F">
        <w:rPr>
          <w:rFonts w:hint="cs"/>
          <w:rtl/>
        </w:rPr>
        <w:t>ملکیّت</w:t>
      </w:r>
      <w:proofErr w:type="spellEnd"/>
      <w:r w:rsidR="00F8431F">
        <w:rPr>
          <w:rFonts w:hint="cs"/>
          <w:rtl/>
        </w:rPr>
        <w:t xml:space="preserve"> </w:t>
      </w:r>
      <w:proofErr w:type="spellStart"/>
      <w:r w:rsidR="00F8431F">
        <w:rPr>
          <w:rFonts w:hint="cs"/>
          <w:rtl/>
        </w:rPr>
        <w:t>است.</w:t>
      </w:r>
      <w:r w:rsidR="006869D0">
        <w:rPr>
          <w:rFonts w:hint="cs"/>
          <w:rtl/>
        </w:rPr>
        <w:t>چون</w:t>
      </w:r>
      <w:proofErr w:type="spellEnd"/>
      <w:r w:rsidR="006869D0">
        <w:rPr>
          <w:rFonts w:hint="cs"/>
          <w:rtl/>
        </w:rPr>
        <w:t xml:space="preserve"> معنای عبارت </w:t>
      </w:r>
      <w:proofErr w:type="spellStart"/>
      <w:r w:rsidR="006869D0">
        <w:rPr>
          <w:rFonts w:hint="cs"/>
          <w:rtl/>
        </w:rPr>
        <w:t>اين</w:t>
      </w:r>
      <w:proofErr w:type="spellEnd"/>
      <w:r w:rsidR="006869D0">
        <w:rPr>
          <w:rFonts w:hint="cs"/>
          <w:rtl/>
        </w:rPr>
        <w:t xml:space="preserve"> می شود که </w:t>
      </w:r>
      <w:proofErr w:type="spellStart"/>
      <w:r w:rsidR="006869D0">
        <w:rPr>
          <w:rFonts w:hint="cs"/>
          <w:rtl/>
        </w:rPr>
        <w:t>مسلمين</w:t>
      </w:r>
      <w:proofErr w:type="spellEnd"/>
      <w:r w:rsidR="006869D0">
        <w:rPr>
          <w:rFonts w:hint="cs"/>
          <w:rtl/>
        </w:rPr>
        <w:t xml:space="preserve"> </w:t>
      </w:r>
      <w:proofErr w:type="spellStart"/>
      <w:r w:rsidR="006869D0">
        <w:rPr>
          <w:rFonts w:hint="cs"/>
          <w:rtl/>
        </w:rPr>
        <w:t>يد</w:t>
      </w:r>
      <w:proofErr w:type="spellEnd"/>
      <w:r w:rsidR="006869D0">
        <w:rPr>
          <w:rFonts w:hint="cs"/>
          <w:rtl/>
        </w:rPr>
        <w:t xml:space="preserve"> دارند که براساس آن مالک هستند </w:t>
      </w:r>
      <w:proofErr w:type="spellStart"/>
      <w:r w:rsidR="006869D0">
        <w:rPr>
          <w:rFonts w:hint="cs"/>
          <w:rtl/>
        </w:rPr>
        <w:t>يامن</w:t>
      </w:r>
      <w:proofErr w:type="spellEnd"/>
      <w:r w:rsidR="006869D0">
        <w:rPr>
          <w:rFonts w:hint="cs"/>
          <w:rtl/>
        </w:rPr>
        <w:t xml:space="preserve"> </w:t>
      </w:r>
      <w:proofErr w:type="spellStart"/>
      <w:r w:rsidR="006869D0">
        <w:rPr>
          <w:rFonts w:hint="cs"/>
          <w:rtl/>
        </w:rPr>
        <w:t>يد</w:t>
      </w:r>
      <w:proofErr w:type="spellEnd"/>
      <w:r w:rsidR="006869D0">
        <w:rPr>
          <w:rFonts w:hint="cs"/>
          <w:rtl/>
        </w:rPr>
        <w:t xml:space="preserve"> دارم که براساس آن مالک هستم </w:t>
      </w:r>
      <w:r w:rsidR="00F8431F">
        <w:rPr>
          <w:rFonts w:hint="cs"/>
          <w:rtl/>
        </w:rPr>
        <w:t xml:space="preserve"> </w:t>
      </w:r>
      <w:r w:rsidR="00BD3710">
        <w:rPr>
          <w:rFonts w:hint="cs"/>
          <w:rtl/>
        </w:rPr>
        <w:t xml:space="preserve">این قرینه، اشکال صاحب </w:t>
      </w:r>
      <w:proofErr w:type="spellStart"/>
      <w:r w:rsidR="00BD3710">
        <w:rPr>
          <w:rFonts w:hint="cs"/>
          <w:rtl/>
        </w:rPr>
        <w:t>منتقی</w:t>
      </w:r>
      <w:proofErr w:type="spellEnd"/>
      <w:r w:rsidR="00BD3710">
        <w:rPr>
          <w:rFonts w:hint="cs"/>
          <w:rtl/>
        </w:rPr>
        <w:t xml:space="preserve"> </w:t>
      </w:r>
      <w:proofErr w:type="spellStart"/>
      <w:r w:rsidR="00BD3710">
        <w:rPr>
          <w:rFonts w:hint="cs"/>
          <w:rtl/>
        </w:rPr>
        <w:t>الاصول</w:t>
      </w:r>
      <w:proofErr w:type="spellEnd"/>
      <w:r w:rsidR="00BD3710">
        <w:rPr>
          <w:rFonts w:hint="cs"/>
          <w:rtl/>
        </w:rPr>
        <w:t xml:space="preserve"> را نیز </w:t>
      </w:r>
      <w:r w:rsidR="006869D0">
        <w:rPr>
          <w:rFonts w:hint="cs"/>
          <w:rtl/>
        </w:rPr>
        <w:t xml:space="preserve">به </w:t>
      </w:r>
      <w:proofErr w:type="spellStart"/>
      <w:r w:rsidR="006869D0">
        <w:rPr>
          <w:rFonts w:hint="cs"/>
          <w:rtl/>
        </w:rPr>
        <w:t>بيان</w:t>
      </w:r>
      <w:proofErr w:type="spellEnd"/>
      <w:r w:rsidR="00BD3710">
        <w:rPr>
          <w:rFonts w:hint="cs"/>
          <w:rtl/>
        </w:rPr>
        <w:t xml:space="preserve"> دیگر پاسخ می دهد</w:t>
      </w:r>
      <w:r w:rsidR="006869D0">
        <w:rPr>
          <w:rFonts w:hint="cs"/>
          <w:rtl/>
        </w:rPr>
        <w:t xml:space="preserve"> چون خود </w:t>
      </w:r>
      <w:proofErr w:type="spellStart"/>
      <w:r w:rsidR="006869D0">
        <w:rPr>
          <w:rFonts w:hint="cs"/>
          <w:rtl/>
        </w:rPr>
        <w:t>حديث</w:t>
      </w:r>
      <w:proofErr w:type="spellEnd"/>
      <w:r w:rsidR="006869D0">
        <w:rPr>
          <w:rFonts w:hint="cs"/>
          <w:rtl/>
        </w:rPr>
        <w:t xml:space="preserve"> به دلالت </w:t>
      </w:r>
      <w:proofErr w:type="spellStart"/>
      <w:r w:rsidR="006869D0">
        <w:rPr>
          <w:rFonts w:hint="cs"/>
          <w:rtl/>
        </w:rPr>
        <w:t>مطابقی</w:t>
      </w:r>
      <w:proofErr w:type="spellEnd"/>
      <w:r w:rsidR="006869D0">
        <w:rPr>
          <w:rFonts w:hint="cs"/>
          <w:rtl/>
        </w:rPr>
        <w:t xml:space="preserve"> دلالت </w:t>
      </w:r>
      <w:proofErr w:type="spellStart"/>
      <w:r w:rsidR="006869D0">
        <w:rPr>
          <w:rFonts w:hint="cs"/>
          <w:rtl/>
        </w:rPr>
        <w:t>مي</w:t>
      </w:r>
      <w:proofErr w:type="spellEnd"/>
      <w:r w:rsidR="006869D0">
        <w:rPr>
          <w:rFonts w:hint="cs"/>
          <w:rtl/>
        </w:rPr>
        <w:t xml:space="preserve"> کند که </w:t>
      </w:r>
      <w:proofErr w:type="spellStart"/>
      <w:r w:rsidR="006869D0">
        <w:rPr>
          <w:rFonts w:hint="cs"/>
          <w:rtl/>
        </w:rPr>
        <w:t>يد</w:t>
      </w:r>
      <w:proofErr w:type="spellEnd"/>
      <w:r w:rsidR="006869D0">
        <w:rPr>
          <w:rFonts w:hint="cs"/>
          <w:rtl/>
        </w:rPr>
        <w:t xml:space="preserve"> حجت </w:t>
      </w:r>
      <w:proofErr w:type="spellStart"/>
      <w:r w:rsidR="006869D0">
        <w:rPr>
          <w:rFonts w:hint="cs"/>
          <w:rtl/>
        </w:rPr>
        <w:t>برملکيت</w:t>
      </w:r>
      <w:proofErr w:type="spellEnd"/>
      <w:r w:rsidR="006869D0">
        <w:rPr>
          <w:rFonts w:hint="cs"/>
          <w:rtl/>
        </w:rPr>
        <w:t xml:space="preserve"> است</w:t>
      </w:r>
      <w:r w:rsidR="00BD3710">
        <w:rPr>
          <w:rFonts w:hint="cs"/>
          <w:rtl/>
        </w:rPr>
        <w:t>.</w:t>
      </w:r>
    </w:p>
    <w:p w:rsidR="003151FE" w:rsidRPr="003151FE" w:rsidRDefault="003151FE" w:rsidP="00BD3710">
      <w:pPr>
        <w:jc w:val="both"/>
        <w:rPr>
          <w:highlight w:val="yellow"/>
          <w:rtl/>
        </w:rPr>
      </w:pPr>
      <w:r w:rsidRPr="003151FE">
        <w:rPr>
          <w:rFonts w:hint="cs"/>
          <w:highlight w:val="yellow"/>
          <w:rtl/>
        </w:rPr>
        <w:t>{پس روایت حماد بن عیسی سندا و دلالة پذیرفته شد.}</w:t>
      </w:r>
    </w:p>
    <w:p w:rsidR="00C8474C" w:rsidRDefault="00C8474C" w:rsidP="00F8431F">
      <w:pPr>
        <w:pStyle w:val="1"/>
        <w:jc w:val="both"/>
        <w:rPr>
          <w:rtl/>
        </w:rPr>
      </w:pPr>
      <w:bookmarkStart w:id="8" w:name="_Toc536677546"/>
      <w:r>
        <w:rPr>
          <w:rFonts w:hint="cs"/>
          <w:rtl/>
        </w:rPr>
        <w:t>روایت 4: مسعده بن صدقه</w:t>
      </w:r>
      <w:bookmarkEnd w:id="8"/>
    </w:p>
    <w:p w:rsidR="00C8474C" w:rsidRDefault="00C8474C" w:rsidP="00FD6B20">
      <w:pPr>
        <w:jc w:val="both"/>
      </w:pPr>
      <w:r>
        <w:rPr>
          <w:rFonts w:hint="cs"/>
          <w:rtl/>
        </w:rPr>
        <w:t>مرحوم نراقی</w:t>
      </w:r>
      <w:r w:rsidR="00040657">
        <w:rPr>
          <w:rStyle w:val="ab"/>
          <w:rtl/>
        </w:rPr>
        <w:footnoteReference w:id="10"/>
      </w:r>
      <w:r>
        <w:rPr>
          <w:rFonts w:hint="cs"/>
          <w:rtl/>
        </w:rPr>
        <w:t xml:space="preserve"> و محققین دیگر به این روایت استدلال کرده اند که در بحث برائت هم برای اثبات اصاله الحلّ به آن استدلال شده است.</w:t>
      </w:r>
      <w:r w:rsidR="0003126C">
        <w:rPr>
          <w:rFonts w:hint="cs"/>
          <w:rtl/>
        </w:rPr>
        <w:t xml:space="preserve"> این روایت را صاحب وسائل از مرحوم کافی نقل کرده است.</w:t>
      </w:r>
      <w:r>
        <w:rPr>
          <w:rFonts w:hint="cs"/>
          <w:rtl/>
        </w:rPr>
        <w:t xml:space="preserve"> </w:t>
      </w:r>
    </w:p>
    <w:p w:rsidR="00C8474C" w:rsidRDefault="00C8474C" w:rsidP="00FD6B20">
      <w:pPr>
        <w:jc w:val="both"/>
        <w:rPr>
          <w:color w:val="008000"/>
          <w:rtl/>
        </w:rPr>
      </w:pPr>
      <w:r w:rsidRPr="00C8474C">
        <w:rPr>
          <w:rFonts w:hint="cs"/>
          <w:color w:val="008000"/>
          <w:rtl/>
        </w:rPr>
        <w:t>«</w:t>
      </w:r>
      <w:r w:rsidRPr="00C8474C">
        <w:rPr>
          <w:color w:val="008000"/>
          <w:rtl/>
        </w:rPr>
        <w:t>عَنْ عَلِيِّ بْنِ إِبْرَاهِيمَ عَنْ هَارُونَ بْنِ مُسْلِمٍ عَنْ مَسْعَدَةَ بْنِ صَدَقَةَ عَنْ أَبِي عَبْدِ اللَّهِ ع قَالَ سَمِعْتُهُ يَقُولُ كُلُّ شَيْ‏ءٍ هُوَ لَكَ حَلَالٌ حَتَّى تَعْلَمَ أَنَّهُ حَرَامٌ بِعَيْنِهِ فَتَدَعَهُ مِنْ قِبَلِ نَفْسِكَ وَ ذَلِكَ مِثْلُ الثَّوْبِ يَكُونُ عَلَيْكَ قَدِ اشْتَرَيْتَهُ وَ هُوَ سَرِقَةٌ أَوِ الْمَمْلُوكِ عِنْدَكَ وَ لَعَلَّهُ حُرٌّ قَدْ بَاعَ نَفْسَهُ أَوْ خُدِعَ فَبِيعَ قَهْراً أَوِ امْرَأَةٍ تَحْتَكَ وَ هِيَ أُخْتُكَ أَوْ رَضِيعَتُكَ وَ الْأَشْيَاءُ كُلُّهَا عَلَى هَذَا حَتَّى يَسْتَبِينَ لَكَ غَيْرُ ذَلِكَ أَوْ تَقُومَ بِهِ الْبَيِّنَةُ.</w:t>
      </w:r>
      <w:r w:rsidRPr="00C8474C">
        <w:rPr>
          <w:rFonts w:hint="cs"/>
          <w:color w:val="008000"/>
          <w:rtl/>
        </w:rPr>
        <w:t>»</w:t>
      </w:r>
      <w:r w:rsidR="00A12557">
        <w:rPr>
          <w:rStyle w:val="ab"/>
          <w:color w:val="008000"/>
          <w:rtl/>
        </w:rPr>
        <w:footnoteReference w:id="11"/>
      </w:r>
    </w:p>
    <w:p w:rsidR="00A12557" w:rsidRDefault="00A12557" w:rsidP="00FD6B20">
      <w:pPr>
        <w:pStyle w:val="20"/>
        <w:jc w:val="both"/>
        <w:rPr>
          <w:rtl/>
        </w:rPr>
      </w:pPr>
      <w:bookmarkStart w:id="9" w:name="_Toc536677547"/>
      <w:r>
        <w:rPr>
          <w:rFonts w:hint="cs"/>
          <w:rtl/>
        </w:rPr>
        <w:t>تقریب</w:t>
      </w:r>
      <w:bookmarkEnd w:id="9"/>
    </w:p>
    <w:p w:rsidR="00A12557" w:rsidRDefault="0012177F" w:rsidP="00F11CDF">
      <w:pPr>
        <w:jc w:val="both"/>
        <w:rPr>
          <w:rtl/>
        </w:rPr>
      </w:pPr>
      <w:r>
        <w:rPr>
          <w:rFonts w:hint="cs"/>
          <w:rtl/>
        </w:rPr>
        <w:t>حضرت می فرماید</w:t>
      </w:r>
      <w:r w:rsidR="00F11CDF">
        <w:rPr>
          <w:rFonts w:hint="cs"/>
          <w:rtl/>
        </w:rPr>
        <w:t>:</w:t>
      </w:r>
      <w:r w:rsidR="00A12557">
        <w:rPr>
          <w:rFonts w:hint="cs"/>
          <w:rtl/>
        </w:rPr>
        <w:t xml:space="preserve"> در جایی که انسان کالا را از بازار می خرد </w:t>
      </w:r>
      <w:r w:rsidR="00F11CDF">
        <w:rPr>
          <w:rFonts w:hint="cs"/>
          <w:rtl/>
        </w:rPr>
        <w:t xml:space="preserve">می توان </w:t>
      </w:r>
      <w:r>
        <w:rPr>
          <w:rFonts w:hint="cs"/>
          <w:rtl/>
        </w:rPr>
        <w:t xml:space="preserve">در </w:t>
      </w:r>
      <w:r w:rsidR="00F11CDF">
        <w:rPr>
          <w:rFonts w:hint="cs"/>
          <w:rtl/>
        </w:rPr>
        <w:t>آن</w:t>
      </w:r>
      <w:r>
        <w:rPr>
          <w:rFonts w:hint="cs"/>
          <w:rtl/>
        </w:rPr>
        <w:t xml:space="preserve"> تصرّف </w:t>
      </w:r>
      <w:r w:rsidR="00F11CDF">
        <w:rPr>
          <w:rFonts w:hint="cs"/>
          <w:rtl/>
        </w:rPr>
        <w:t>کند البته تا زمانی که علم به مسروقه بودن یا مملوک نبودن آن</w:t>
      </w:r>
      <w:r>
        <w:rPr>
          <w:rFonts w:hint="cs"/>
          <w:rtl/>
        </w:rPr>
        <w:t xml:space="preserve"> پیدا </w:t>
      </w:r>
      <w:r w:rsidR="00F11CDF">
        <w:rPr>
          <w:rFonts w:hint="cs"/>
          <w:rtl/>
        </w:rPr>
        <w:t>نکرده است</w:t>
      </w:r>
      <w:r w:rsidR="00A12557">
        <w:rPr>
          <w:rFonts w:hint="cs"/>
          <w:rtl/>
        </w:rPr>
        <w:t xml:space="preserve">. این وجهی ندارد جز این که </w:t>
      </w:r>
      <w:r w:rsidR="00035528">
        <w:rPr>
          <w:rFonts w:hint="cs"/>
          <w:rtl/>
        </w:rPr>
        <w:t xml:space="preserve">ید </w:t>
      </w:r>
      <w:r w:rsidR="00A12557">
        <w:rPr>
          <w:rFonts w:hint="cs"/>
          <w:rtl/>
        </w:rPr>
        <w:t xml:space="preserve">فروشنده </w:t>
      </w:r>
      <w:r w:rsidR="00035528">
        <w:rPr>
          <w:rFonts w:hint="cs"/>
          <w:rtl/>
        </w:rPr>
        <w:t>اماره ملکیت</w:t>
      </w:r>
      <w:r w:rsidR="00A12557">
        <w:rPr>
          <w:rFonts w:hint="cs"/>
          <w:rtl/>
        </w:rPr>
        <w:t xml:space="preserve"> </w:t>
      </w:r>
      <w:r w:rsidR="00035528">
        <w:rPr>
          <w:rFonts w:hint="cs"/>
          <w:rtl/>
        </w:rPr>
        <w:t>است</w:t>
      </w:r>
      <w:r w:rsidR="00A12557">
        <w:rPr>
          <w:rFonts w:hint="cs"/>
          <w:rtl/>
        </w:rPr>
        <w:t>.</w:t>
      </w:r>
      <w:r w:rsidR="00035528">
        <w:rPr>
          <w:rFonts w:hint="cs"/>
          <w:rtl/>
        </w:rPr>
        <w:t xml:space="preserve"> دو قس</w:t>
      </w:r>
      <w:r w:rsidR="00F11CDF">
        <w:rPr>
          <w:rFonts w:hint="cs"/>
          <w:rtl/>
        </w:rPr>
        <w:t>مت از این روایت محل استشهاد است، یکی</w:t>
      </w:r>
      <w:r w:rsidR="00035528">
        <w:rPr>
          <w:rFonts w:hint="cs"/>
          <w:rtl/>
        </w:rPr>
        <w:t xml:space="preserve"> وقتی چیزی را خر</w:t>
      </w:r>
      <w:r w:rsidR="00F11CDF">
        <w:rPr>
          <w:rFonts w:hint="cs"/>
          <w:rtl/>
        </w:rPr>
        <w:t xml:space="preserve">یده که احتمال سرقت در آن است، دیگری جایی که </w:t>
      </w:r>
      <w:r w:rsidR="00035528">
        <w:rPr>
          <w:rFonts w:hint="cs"/>
          <w:rtl/>
        </w:rPr>
        <w:t xml:space="preserve">عبدی را خریده ولی احتمال حر بودن او </w:t>
      </w:r>
      <w:r w:rsidR="00F11CDF">
        <w:rPr>
          <w:rFonts w:hint="cs"/>
          <w:rtl/>
        </w:rPr>
        <w:t>را می دهد.</w:t>
      </w:r>
      <w:r w:rsidR="00035528">
        <w:rPr>
          <w:rFonts w:hint="cs"/>
          <w:rtl/>
        </w:rPr>
        <w:t xml:space="preserve"> تنها دلیلی که باعث</w:t>
      </w:r>
      <w:r w:rsidR="00F11CDF">
        <w:rPr>
          <w:rFonts w:hint="cs"/>
          <w:rtl/>
        </w:rPr>
        <w:t xml:space="preserve"> حکم به</w:t>
      </w:r>
      <w:r w:rsidR="00035528">
        <w:rPr>
          <w:rFonts w:hint="cs"/>
          <w:rtl/>
        </w:rPr>
        <w:t xml:space="preserve"> عدم اعتناء به شبهه می شود</w:t>
      </w:r>
      <w:r w:rsidR="00F11CDF">
        <w:rPr>
          <w:rFonts w:hint="cs"/>
          <w:rtl/>
        </w:rPr>
        <w:t>،</w:t>
      </w:r>
      <w:r w:rsidR="00035528">
        <w:rPr>
          <w:rFonts w:hint="cs"/>
          <w:rtl/>
        </w:rPr>
        <w:t xml:space="preserve"> ید داشتن فروشنده است.</w:t>
      </w:r>
    </w:p>
    <w:p w:rsidR="00A12557" w:rsidRDefault="00A12557" w:rsidP="00FD6B20">
      <w:pPr>
        <w:pStyle w:val="20"/>
        <w:jc w:val="both"/>
      </w:pPr>
      <w:bookmarkStart w:id="10" w:name="_Toc536677548"/>
      <w:r>
        <w:rPr>
          <w:rFonts w:hint="cs"/>
          <w:rtl/>
        </w:rPr>
        <w:t>بررسی سندی</w:t>
      </w:r>
      <w:bookmarkEnd w:id="10"/>
    </w:p>
    <w:p w:rsidR="00F11CDF" w:rsidRDefault="0023375B" w:rsidP="00F11CDF">
      <w:pPr>
        <w:jc w:val="both"/>
        <w:rPr>
          <w:rtl/>
        </w:rPr>
      </w:pPr>
      <w:r>
        <w:rPr>
          <w:rFonts w:hint="cs"/>
          <w:rtl/>
        </w:rPr>
        <w:t>مسعده بن صدقه به خصوصه در کتب رجال توثیقی</w:t>
      </w:r>
      <w:r w:rsidR="00040657">
        <w:rPr>
          <w:rFonts w:hint="cs"/>
          <w:rtl/>
        </w:rPr>
        <w:t xml:space="preserve"> برای او</w:t>
      </w:r>
      <w:r>
        <w:rPr>
          <w:rFonts w:hint="cs"/>
          <w:rtl/>
        </w:rPr>
        <w:t xml:space="preserve"> ذکر نشده است. </w:t>
      </w:r>
    </w:p>
    <w:p w:rsidR="0023375B" w:rsidRDefault="0023375B" w:rsidP="006869D0">
      <w:pPr>
        <w:jc w:val="both"/>
        <w:rPr>
          <w:rtl/>
        </w:rPr>
      </w:pPr>
      <w:r>
        <w:rPr>
          <w:rFonts w:hint="cs"/>
          <w:rtl/>
        </w:rPr>
        <w:lastRenderedPageBreak/>
        <w:t xml:space="preserve">سه عنوان شبیه به هم </w:t>
      </w:r>
      <w:r w:rsidR="00F11CDF">
        <w:rPr>
          <w:rFonts w:hint="cs"/>
          <w:rtl/>
        </w:rPr>
        <w:t xml:space="preserve">وجود دارد: </w:t>
      </w:r>
      <w:proofErr w:type="spellStart"/>
      <w:r w:rsidR="00F11CDF">
        <w:rPr>
          <w:rFonts w:hint="cs"/>
          <w:rtl/>
        </w:rPr>
        <w:t>مسعده</w:t>
      </w:r>
      <w:proofErr w:type="spellEnd"/>
      <w:r w:rsidR="00F11CDF">
        <w:rPr>
          <w:rFonts w:hint="cs"/>
          <w:rtl/>
        </w:rPr>
        <w:t xml:space="preserve"> بن صدقه، </w:t>
      </w:r>
      <w:proofErr w:type="spellStart"/>
      <w:r w:rsidR="00F11CDF">
        <w:rPr>
          <w:rFonts w:hint="cs"/>
          <w:rtl/>
        </w:rPr>
        <w:t>مسعده</w:t>
      </w:r>
      <w:proofErr w:type="spellEnd"/>
      <w:r w:rsidR="00F11CDF">
        <w:rPr>
          <w:rFonts w:hint="cs"/>
          <w:rtl/>
        </w:rPr>
        <w:t xml:space="preserve"> بن زیاد،</w:t>
      </w:r>
      <w:r>
        <w:rPr>
          <w:rFonts w:hint="cs"/>
          <w:rtl/>
        </w:rPr>
        <w:t xml:space="preserve"> </w:t>
      </w:r>
      <w:proofErr w:type="spellStart"/>
      <w:r>
        <w:rPr>
          <w:rFonts w:hint="cs"/>
          <w:rtl/>
        </w:rPr>
        <w:t>م</w:t>
      </w:r>
      <w:r w:rsidR="006869D0">
        <w:rPr>
          <w:rFonts w:hint="cs"/>
          <w:rtl/>
        </w:rPr>
        <w:t>ُصدّق</w:t>
      </w:r>
      <w:proofErr w:type="spellEnd"/>
      <w:r>
        <w:rPr>
          <w:rFonts w:hint="cs"/>
          <w:rtl/>
        </w:rPr>
        <w:t xml:space="preserve"> بن صدقه</w:t>
      </w:r>
      <w:r w:rsidR="00F11CDF">
        <w:rPr>
          <w:rFonts w:hint="cs"/>
          <w:rtl/>
        </w:rPr>
        <w:t xml:space="preserve">. </w:t>
      </w:r>
      <w:r>
        <w:rPr>
          <w:rFonts w:hint="cs"/>
          <w:rtl/>
        </w:rPr>
        <w:t xml:space="preserve">دومی توثیق دارد و سومی معمولا در روایات </w:t>
      </w:r>
      <w:proofErr w:type="spellStart"/>
      <w:r>
        <w:rPr>
          <w:rFonts w:hint="cs"/>
          <w:rtl/>
        </w:rPr>
        <w:t>عمّار</w:t>
      </w:r>
      <w:proofErr w:type="spellEnd"/>
      <w:r>
        <w:rPr>
          <w:rFonts w:hint="cs"/>
          <w:rtl/>
        </w:rPr>
        <w:t xml:space="preserve"> است</w:t>
      </w:r>
      <w:r w:rsidR="006869D0">
        <w:rPr>
          <w:rFonts w:hint="cs"/>
          <w:rtl/>
        </w:rPr>
        <w:t xml:space="preserve"> که شخص </w:t>
      </w:r>
      <w:proofErr w:type="spellStart"/>
      <w:r w:rsidR="006869D0">
        <w:rPr>
          <w:rFonts w:hint="cs"/>
          <w:rtl/>
        </w:rPr>
        <w:t>ثقه</w:t>
      </w:r>
      <w:proofErr w:type="spellEnd"/>
      <w:r w:rsidR="006869D0">
        <w:rPr>
          <w:rFonts w:hint="cs"/>
          <w:rtl/>
        </w:rPr>
        <w:t xml:space="preserve"> </w:t>
      </w:r>
      <w:proofErr w:type="spellStart"/>
      <w:r w:rsidR="006869D0">
        <w:rPr>
          <w:rFonts w:hint="cs"/>
          <w:rtl/>
        </w:rPr>
        <w:t>وفطحی</w:t>
      </w:r>
      <w:proofErr w:type="spellEnd"/>
      <w:r w:rsidR="006869D0">
        <w:rPr>
          <w:rFonts w:hint="cs"/>
          <w:rtl/>
        </w:rPr>
        <w:t xml:space="preserve"> است</w:t>
      </w:r>
      <w:r w:rsidR="00F11CDF">
        <w:rPr>
          <w:rFonts w:hint="cs"/>
          <w:rtl/>
        </w:rPr>
        <w:t>،</w:t>
      </w:r>
      <w:r>
        <w:rPr>
          <w:rFonts w:hint="cs"/>
          <w:rtl/>
        </w:rPr>
        <w:t xml:space="preserve"> اما </w:t>
      </w:r>
      <w:proofErr w:type="spellStart"/>
      <w:r>
        <w:rPr>
          <w:rFonts w:hint="cs"/>
          <w:rtl/>
        </w:rPr>
        <w:t>اوّلی</w:t>
      </w:r>
      <w:proofErr w:type="spellEnd"/>
      <w:r w:rsidR="00F11CDF">
        <w:rPr>
          <w:rFonts w:hint="cs"/>
          <w:rtl/>
        </w:rPr>
        <w:t>(</w:t>
      </w:r>
      <w:proofErr w:type="spellStart"/>
      <w:r w:rsidR="00F11CDF">
        <w:rPr>
          <w:rFonts w:hint="cs"/>
          <w:rtl/>
        </w:rPr>
        <w:t>مسعدة</w:t>
      </w:r>
      <w:proofErr w:type="spellEnd"/>
      <w:r w:rsidR="00F11CDF">
        <w:rPr>
          <w:rFonts w:hint="cs"/>
          <w:rtl/>
        </w:rPr>
        <w:t xml:space="preserve"> بن صدقه)</w:t>
      </w:r>
      <w:r>
        <w:rPr>
          <w:rFonts w:hint="cs"/>
          <w:rtl/>
        </w:rPr>
        <w:t xml:space="preserve"> </w:t>
      </w:r>
      <w:proofErr w:type="spellStart"/>
      <w:r>
        <w:rPr>
          <w:rFonts w:hint="cs"/>
          <w:rtl/>
        </w:rPr>
        <w:t>توثیقی</w:t>
      </w:r>
      <w:proofErr w:type="spellEnd"/>
      <w:r>
        <w:rPr>
          <w:rFonts w:hint="cs"/>
          <w:rtl/>
        </w:rPr>
        <w:t xml:space="preserve"> ندارد.</w:t>
      </w:r>
      <w:r w:rsidR="00F11CDF">
        <w:rPr>
          <w:rFonts w:hint="cs"/>
          <w:rtl/>
        </w:rPr>
        <w:t xml:space="preserve"> لکن </w:t>
      </w:r>
      <w:r>
        <w:rPr>
          <w:rFonts w:hint="cs"/>
          <w:rtl/>
        </w:rPr>
        <w:t>وجوهی برای</w:t>
      </w:r>
      <w:r w:rsidR="00D22347">
        <w:rPr>
          <w:rFonts w:hint="cs"/>
          <w:rtl/>
        </w:rPr>
        <w:t xml:space="preserve"> اثبات</w:t>
      </w:r>
      <w:r>
        <w:rPr>
          <w:rFonts w:hint="cs"/>
          <w:rtl/>
        </w:rPr>
        <w:t xml:space="preserve"> وثاقت مسعده بن صدقه گفته شده است:</w:t>
      </w:r>
    </w:p>
    <w:p w:rsidR="00D22347" w:rsidRDefault="00D22347" w:rsidP="00D22347">
      <w:pPr>
        <w:pStyle w:val="30"/>
        <w:rPr>
          <w:rtl/>
        </w:rPr>
      </w:pPr>
      <w:bookmarkStart w:id="11" w:name="_Toc536677549"/>
      <w:r>
        <w:rPr>
          <w:rFonts w:hint="cs"/>
          <w:rtl/>
        </w:rPr>
        <w:t>وجوه وثاقت مسعده بن صدقه</w:t>
      </w:r>
      <w:bookmarkEnd w:id="11"/>
    </w:p>
    <w:p w:rsidR="00D22347" w:rsidRPr="00D22347" w:rsidRDefault="00D22347" w:rsidP="00D22347">
      <w:pPr>
        <w:pStyle w:val="40"/>
        <w:rPr>
          <w:rtl/>
        </w:rPr>
      </w:pPr>
      <w:bookmarkStart w:id="12" w:name="_Toc536677550"/>
      <w:r>
        <w:rPr>
          <w:rFonts w:hint="cs"/>
          <w:rtl/>
        </w:rPr>
        <w:t>مجلسی(پدر)</w:t>
      </w:r>
      <w:bookmarkEnd w:id="12"/>
    </w:p>
    <w:p w:rsidR="0023375B" w:rsidRDefault="0023375B" w:rsidP="00F11CDF">
      <w:pPr>
        <w:jc w:val="both"/>
        <w:rPr>
          <w:rtl/>
        </w:rPr>
      </w:pPr>
      <w:r>
        <w:rPr>
          <w:rFonts w:hint="cs"/>
          <w:rtl/>
        </w:rPr>
        <w:t>مجلسی پدر</w:t>
      </w:r>
      <w:r w:rsidR="009876FF">
        <w:rPr>
          <w:rStyle w:val="ab"/>
          <w:rtl/>
        </w:rPr>
        <w:footnoteReference w:id="12"/>
      </w:r>
      <w:r>
        <w:rPr>
          <w:rFonts w:hint="cs"/>
          <w:rtl/>
        </w:rPr>
        <w:t xml:space="preserve">: </w:t>
      </w:r>
      <w:r w:rsidRPr="003867FB">
        <w:rPr>
          <w:rFonts w:hint="cs"/>
          <w:color w:val="000080"/>
          <w:rtl/>
        </w:rPr>
        <w:t xml:space="preserve">با توجه به مجموع روایات این شخص، می بینیم که از قوّت و استحکام </w:t>
      </w:r>
      <w:proofErr w:type="spellStart"/>
      <w:r w:rsidRPr="003867FB">
        <w:rPr>
          <w:rFonts w:hint="cs"/>
          <w:color w:val="000080"/>
          <w:rtl/>
        </w:rPr>
        <w:t>خاصّی</w:t>
      </w:r>
      <w:proofErr w:type="spellEnd"/>
      <w:r w:rsidRPr="003867FB">
        <w:rPr>
          <w:rFonts w:hint="cs"/>
          <w:color w:val="000080"/>
          <w:rtl/>
        </w:rPr>
        <w:t xml:space="preserve"> برخ</w:t>
      </w:r>
      <w:r w:rsidR="006869D0">
        <w:rPr>
          <w:rFonts w:hint="cs"/>
          <w:color w:val="000080"/>
          <w:rtl/>
        </w:rPr>
        <w:t>و</w:t>
      </w:r>
      <w:r w:rsidRPr="003867FB">
        <w:rPr>
          <w:rFonts w:hint="cs"/>
          <w:color w:val="000080"/>
          <w:rtl/>
        </w:rPr>
        <w:t xml:space="preserve">ردار است </w:t>
      </w:r>
      <w:r w:rsidR="00F11CDF" w:rsidRPr="003867FB">
        <w:rPr>
          <w:rFonts w:hint="cs"/>
          <w:color w:val="000080"/>
          <w:rtl/>
        </w:rPr>
        <w:t>و با روایات ثقات مطابقت دارد. همی</w:t>
      </w:r>
      <w:r w:rsidRPr="003867FB">
        <w:rPr>
          <w:rFonts w:hint="cs"/>
          <w:color w:val="000080"/>
          <w:rtl/>
        </w:rPr>
        <w:t>ن گواه وثاقت اوست</w:t>
      </w:r>
      <w:r>
        <w:rPr>
          <w:rFonts w:hint="cs"/>
          <w:rtl/>
        </w:rPr>
        <w:t>.</w:t>
      </w:r>
      <w:r w:rsidR="006C7F98">
        <w:rPr>
          <w:rFonts w:hint="cs"/>
          <w:rtl/>
        </w:rPr>
        <w:t xml:space="preserve"> روایات او حتی بر روایات</w:t>
      </w:r>
      <w:r w:rsidR="00D22347">
        <w:rPr>
          <w:rFonts w:hint="cs"/>
          <w:rtl/>
        </w:rPr>
        <w:t xml:space="preserve"> بعضی از اجلاء</w:t>
      </w:r>
      <w:r w:rsidR="00F11CDF">
        <w:rPr>
          <w:rFonts w:hint="cs"/>
          <w:rtl/>
        </w:rPr>
        <w:t xml:space="preserve"> مثل</w:t>
      </w:r>
      <w:r w:rsidR="006C7F98">
        <w:rPr>
          <w:rFonts w:hint="cs"/>
          <w:rtl/>
        </w:rPr>
        <w:t xml:space="preserve"> جمیل و</w:t>
      </w:r>
      <w:r w:rsidR="00D22347">
        <w:rPr>
          <w:rFonts w:hint="cs"/>
          <w:rtl/>
        </w:rPr>
        <w:t xml:space="preserve"> حریز</w:t>
      </w:r>
      <w:r w:rsidR="006C7F98">
        <w:rPr>
          <w:rFonts w:hint="cs"/>
          <w:rtl/>
        </w:rPr>
        <w:t xml:space="preserve"> هم می‌چربد.</w:t>
      </w:r>
      <w:r w:rsidR="00D22347">
        <w:rPr>
          <w:rFonts w:hint="cs"/>
          <w:rtl/>
        </w:rPr>
        <w:t xml:space="preserve"> </w:t>
      </w:r>
    </w:p>
    <w:p w:rsidR="00D22347" w:rsidRDefault="00D22347" w:rsidP="008D65F2">
      <w:pPr>
        <w:jc w:val="both"/>
      </w:pPr>
      <w:r>
        <w:rPr>
          <w:rFonts w:hint="cs"/>
          <w:rtl/>
        </w:rPr>
        <w:t xml:space="preserve">البته </w:t>
      </w:r>
      <w:r w:rsidR="008D65F2">
        <w:rPr>
          <w:rFonts w:hint="cs"/>
          <w:rtl/>
        </w:rPr>
        <w:t>ممکن است</w:t>
      </w:r>
      <w:r>
        <w:rPr>
          <w:rFonts w:hint="cs"/>
          <w:rtl/>
        </w:rPr>
        <w:t xml:space="preserve"> </w:t>
      </w:r>
      <w:r w:rsidR="008D65F2">
        <w:rPr>
          <w:rFonts w:hint="cs"/>
          <w:rtl/>
        </w:rPr>
        <w:t xml:space="preserve"> </w:t>
      </w:r>
      <w:proofErr w:type="spellStart"/>
      <w:r w:rsidR="008D65F2">
        <w:rPr>
          <w:rFonts w:hint="cs"/>
          <w:rtl/>
        </w:rPr>
        <w:t>اين</w:t>
      </w:r>
      <w:proofErr w:type="spellEnd"/>
      <w:r w:rsidR="008D65F2">
        <w:rPr>
          <w:rFonts w:hint="cs"/>
          <w:rtl/>
        </w:rPr>
        <w:t xml:space="preserve"> وجه به عنوان </w:t>
      </w:r>
      <w:r>
        <w:rPr>
          <w:rFonts w:hint="cs"/>
          <w:rtl/>
        </w:rPr>
        <w:t xml:space="preserve">دلیل بر </w:t>
      </w:r>
      <w:r w:rsidR="003F499C">
        <w:rPr>
          <w:rFonts w:hint="cs"/>
          <w:rtl/>
        </w:rPr>
        <w:t>اطمینان به</w:t>
      </w:r>
      <w:r>
        <w:rPr>
          <w:rFonts w:hint="cs"/>
          <w:rtl/>
        </w:rPr>
        <w:t xml:space="preserve"> صدور روایات او</w:t>
      </w:r>
      <w:r w:rsidR="008D65F2">
        <w:rPr>
          <w:rFonts w:hint="cs"/>
          <w:rtl/>
        </w:rPr>
        <w:t xml:space="preserve"> </w:t>
      </w:r>
      <w:proofErr w:type="spellStart"/>
      <w:r w:rsidR="008D65F2">
        <w:rPr>
          <w:rFonts w:hint="cs"/>
          <w:rtl/>
        </w:rPr>
        <w:t>ذکرشود</w:t>
      </w:r>
      <w:proofErr w:type="spellEnd"/>
      <w:r>
        <w:rPr>
          <w:rFonts w:hint="cs"/>
          <w:rtl/>
        </w:rPr>
        <w:t xml:space="preserve"> </w:t>
      </w:r>
      <w:r w:rsidR="008D65F2">
        <w:rPr>
          <w:rFonts w:hint="cs"/>
          <w:rtl/>
        </w:rPr>
        <w:t>(</w:t>
      </w:r>
      <w:r>
        <w:rPr>
          <w:rFonts w:hint="cs"/>
          <w:rtl/>
        </w:rPr>
        <w:t>نه</w:t>
      </w:r>
      <w:r w:rsidR="008D65F2">
        <w:rPr>
          <w:rFonts w:hint="cs"/>
          <w:rtl/>
        </w:rPr>
        <w:t xml:space="preserve"> </w:t>
      </w:r>
      <w:proofErr w:type="spellStart"/>
      <w:r w:rsidR="008D65F2">
        <w:rPr>
          <w:rFonts w:hint="cs"/>
          <w:rtl/>
        </w:rPr>
        <w:t>دليل</w:t>
      </w:r>
      <w:proofErr w:type="spellEnd"/>
      <w:r w:rsidR="008D65F2">
        <w:rPr>
          <w:rFonts w:hint="cs"/>
          <w:rtl/>
        </w:rPr>
        <w:t xml:space="preserve"> بر</w:t>
      </w:r>
      <w:r>
        <w:rPr>
          <w:rFonts w:hint="cs"/>
          <w:rtl/>
        </w:rPr>
        <w:t xml:space="preserve"> </w:t>
      </w:r>
      <w:proofErr w:type="spellStart"/>
      <w:r>
        <w:rPr>
          <w:rFonts w:hint="cs"/>
          <w:rtl/>
        </w:rPr>
        <w:t>ثقه</w:t>
      </w:r>
      <w:proofErr w:type="spellEnd"/>
      <w:r>
        <w:rPr>
          <w:rFonts w:hint="cs"/>
          <w:rtl/>
        </w:rPr>
        <w:t xml:space="preserve"> بودن </w:t>
      </w:r>
      <w:r w:rsidR="00F11CDF">
        <w:rPr>
          <w:rFonts w:hint="cs"/>
          <w:rtl/>
        </w:rPr>
        <w:t xml:space="preserve">شخص </w:t>
      </w:r>
      <w:r>
        <w:rPr>
          <w:rFonts w:hint="cs"/>
          <w:rtl/>
        </w:rPr>
        <w:t>او</w:t>
      </w:r>
      <w:r w:rsidR="008D65F2">
        <w:rPr>
          <w:rFonts w:hint="cs"/>
          <w:rtl/>
        </w:rPr>
        <w:t>)</w:t>
      </w:r>
      <w:r w:rsidR="009D0360">
        <w:rPr>
          <w:rFonts w:hint="cs"/>
          <w:rtl/>
        </w:rPr>
        <w:t>.</w:t>
      </w:r>
    </w:p>
    <w:p w:rsidR="00331A6B" w:rsidRPr="00574190" w:rsidRDefault="00331A6B" w:rsidP="00D22347">
      <w:pPr>
        <w:pStyle w:val="50"/>
        <w:rPr>
          <w:rtl/>
        </w:rPr>
      </w:pPr>
      <w:bookmarkStart w:id="13" w:name="_Toc536677551"/>
      <w:r w:rsidRPr="00574190">
        <w:rPr>
          <w:rFonts w:hint="cs"/>
          <w:rtl/>
        </w:rPr>
        <w:t>مناقشه</w:t>
      </w:r>
      <w:bookmarkEnd w:id="13"/>
    </w:p>
    <w:p w:rsidR="00331A6B" w:rsidRDefault="00331A6B" w:rsidP="003F499C">
      <w:pPr>
        <w:jc w:val="both"/>
        <w:rPr>
          <w:rtl/>
        </w:rPr>
      </w:pPr>
      <w:r>
        <w:rPr>
          <w:rFonts w:hint="cs"/>
          <w:rtl/>
        </w:rPr>
        <w:t>به نظر می رسد که این وجه</w:t>
      </w:r>
      <w:r w:rsidR="003F499C">
        <w:rPr>
          <w:rFonts w:hint="cs"/>
          <w:rtl/>
        </w:rPr>
        <w:t>(اگر چه در مورد محمد بن سنان و سهل بن زیاد هم این طریق گفته شده است لکن)</w:t>
      </w:r>
      <w:r>
        <w:rPr>
          <w:rFonts w:hint="cs"/>
          <w:rtl/>
        </w:rPr>
        <w:t xml:space="preserve"> برای احراز وثاقت </w:t>
      </w:r>
      <w:r w:rsidR="003F499C">
        <w:rPr>
          <w:rFonts w:hint="cs"/>
          <w:rtl/>
        </w:rPr>
        <w:t>کافی نیست؛</w:t>
      </w:r>
      <w:r w:rsidR="00595FCA">
        <w:rPr>
          <w:rFonts w:hint="cs"/>
          <w:rtl/>
        </w:rPr>
        <w:t xml:space="preserve"> زیرا آن چه در روایات ایشان </w:t>
      </w:r>
      <w:r w:rsidR="003F499C">
        <w:rPr>
          <w:rFonts w:hint="cs"/>
          <w:rtl/>
        </w:rPr>
        <w:t>و در نوع روایات فقهی نقل می شود، صرفا حکم به وجوب یا عدم وجوب است</w:t>
      </w:r>
      <w:r w:rsidR="00595FCA">
        <w:rPr>
          <w:rFonts w:hint="cs"/>
          <w:rtl/>
        </w:rPr>
        <w:t>، یعنی در متن روایات فقهی</w:t>
      </w:r>
      <w:r w:rsidR="003F499C">
        <w:rPr>
          <w:rFonts w:hint="cs"/>
          <w:rtl/>
        </w:rPr>
        <w:t xml:space="preserve"> نوعا فصاحت و بلاغت</w:t>
      </w:r>
      <w:r w:rsidR="00595FCA">
        <w:rPr>
          <w:rFonts w:hint="cs"/>
          <w:rtl/>
        </w:rPr>
        <w:t xml:space="preserve"> بکار برده نشده بلک</w:t>
      </w:r>
      <w:r w:rsidR="003F499C">
        <w:rPr>
          <w:rFonts w:hint="cs"/>
          <w:rtl/>
        </w:rPr>
        <w:t>ه از الفاظ متفاهم عرفی استفاده شده است،</w:t>
      </w:r>
      <w:r w:rsidR="00CB1841">
        <w:rPr>
          <w:rFonts w:hint="cs"/>
          <w:rtl/>
        </w:rPr>
        <w:t xml:space="preserve"> به گونه</w:t>
      </w:r>
      <w:r w:rsidR="003F499C">
        <w:rPr>
          <w:rFonts w:hint="eastAsia"/>
          <w:rtl/>
        </w:rPr>
        <w:t>‌</w:t>
      </w:r>
      <w:r w:rsidR="00CB1841">
        <w:rPr>
          <w:rFonts w:hint="cs"/>
          <w:rtl/>
        </w:rPr>
        <w:t>ای که شخص</w:t>
      </w:r>
      <w:r w:rsidR="00CB1841" w:rsidRPr="003F499C">
        <w:rPr>
          <w:rFonts w:hint="cs"/>
          <w:u w:val="single"/>
          <w:rtl/>
        </w:rPr>
        <w:t xml:space="preserve"> جاعل</w:t>
      </w:r>
      <w:r w:rsidR="00CB1841">
        <w:rPr>
          <w:rFonts w:hint="cs"/>
          <w:rtl/>
        </w:rPr>
        <w:t xml:space="preserve"> هم می تواند با دیدن چند روایت فقهی</w:t>
      </w:r>
      <w:r w:rsidR="003F499C">
        <w:rPr>
          <w:rFonts w:hint="cs"/>
          <w:rtl/>
        </w:rPr>
        <w:t xml:space="preserve">، </w:t>
      </w:r>
      <w:r w:rsidR="00CB1841">
        <w:rPr>
          <w:rFonts w:hint="cs"/>
          <w:rtl/>
        </w:rPr>
        <w:t>حکم</w:t>
      </w:r>
      <w:r w:rsidR="003F499C">
        <w:rPr>
          <w:rFonts w:hint="cs"/>
          <w:rtl/>
        </w:rPr>
        <w:t>ی</w:t>
      </w:r>
      <w:r w:rsidR="00CB1841">
        <w:rPr>
          <w:rFonts w:hint="cs"/>
          <w:rtl/>
        </w:rPr>
        <w:t xml:space="preserve"> ف</w:t>
      </w:r>
      <w:r w:rsidR="00AA7A55">
        <w:rPr>
          <w:rFonts w:hint="cs"/>
          <w:rtl/>
        </w:rPr>
        <w:t>قهی را در قالب یک روایت جعل کند و</w:t>
      </w:r>
      <w:r w:rsidR="003F499C">
        <w:rPr>
          <w:rFonts w:hint="cs"/>
          <w:rtl/>
        </w:rPr>
        <w:t xml:space="preserve"> این</w:t>
      </w:r>
      <w:r w:rsidR="00AA7A55">
        <w:rPr>
          <w:rFonts w:hint="cs"/>
          <w:rtl/>
        </w:rPr>
        <w:t xml:space="preserve"> قوّت متنی خاص</w:t>
      </w:r>
      <w:r w:rsidR="003F499C">
        <w:rPr>
          <w:rFonts w:hint="cs"/>
          <w:rtl/>
        </w:rPr>
        <w:t>ّ</w:t>
      </w:r>
      <w:r w:rsidR="00AA7A55">
        <w:rPr>
          <w:rFonts w:hint="cs"/>
          <w:rtl/>
        </w:rPr>
        <w:t>ی</w:t>
      </w:r>
      <w:r w:rsidR="003F499C">
        <w:rPr>
          <w:rFonts w:hint="cs"/>
          <w:rtl/>
        </w:rPr>
        <w:t xml:space="preserve"> را</w:t>
      </w:r>
      <w:r w:rsidR="00AA7A55">
        <w:rPr>
          <w:rFonts w:hint="cs"/>
          <w:rtl/>
        </w:rPr>
        <w:t xml:space="preserve"> نیاز ندارد.</w:t>
      </w:r>
      <w:bookmarkStart w:id="14" w:name="_GoBack"/>
      <w:bookmarkEnd w:id="14"/>
    </w:p>
    <w:p w:rsidR="00040657" w:rsidRDefault="00040657" w:rsidP="00040657">
      <w:pPr>
        <w:pStyle w:val="1"/>
        <w:rPr>
          <w:rtl/>
        </w:rPr>
      </w:pPr>
      <w:bookmarkStart w:id="15" w:name="_Toc536677552"/>
      <w:r>
        <w:rPr>
          <w:rFonts w:hint="cs"/>
          <w:rtl/>
        </w:rPr>
        <w:t>خلاصه جلسه</w:t>
      </w:r>
      <w:bookmarkEnd w:id="15"/>
    </w:p>
    <w:p w:rsidR="003151FE" w:rsidRDefault="003151FE" w:rsidP="006869D0">
      <w:pPr>
        <w:jc w:val="both"/>
        <w:rPr>
          <w:rtl/>
        </w:rPr>
      </w:pPr>
      <w:r>
        <w:rPr>
          <w:rFonts w:hint="cs"/>
          <w:rtl/>
        </w:rPr>
        <w:t xml:space="preserve">مناقشه در دلالت روایت حماد: منکَر بودن یک شخص در مقام دعوی به این نیست که </w:t>
      </w:r>
      <w:proofErr w:type="spellStart"/>
      <w:r>
        <w:rPr>
          <w:rFonts w:hint="cs"/>
          <w:rtl/>
        </w:rPr>
        <w:t>قولش</w:t>
      </w:r>
      <w:proofErr w:type="spellEnd"/>
      <w:r>
        <w:rPr>
          <w:rFonts w:hint="cs"/>
          <w:rtl/>
        </w:rPr>
        <w:t xml:space="preserve"> موافق حجّت </w:t>
      </w:r>
      <w:proofErr w:type="spellStart"/>
      <w:r>
        <w:rPr>
          <w:rFonts w:hint="cs"/>
          <w:rtl/>
        </w:rPr>
        <w:t>باشد</w:t>
      </w:r>
      <w:r w:rsidR="006869D0">
        <w:rPr>
          <w:rFonts w:hint="cs"/>
          <w:rtl/>
        </w:rPr>
        <w:t>درمقابل</w:t>
      </w:r>
      <w:proofErr w:type="spellEnd"/>
      <w:r w:rsidR="006869D0">
        <w:rPr>
          <w:rFonts w:hint="cs"/>
          <w:rtl/>
        </w:rPr>
        <w:t xml:space="preserve"> مدعی که </w:t>
      </w:r>
      <w:proofErr w:type="spellStart"/>
      <w:r w:rsidR="006869D0">
        <w:rPr>
          <w:rFonts w:hint="cs"/>
          <w:rtl/>
        </w:rPr>
        <w:t>قولش</w:t>
      </w:r>
      <w:proofErr w:type="spellEnd"/>
      <w:r w:rsidR="006869D0">
        <w:rPr>
          <w:rFonts w:hint="cs"/>
          <w:rtl/>
        </w:rPr>
        <w:t xml:space="preserve"> مخالف </w:t>
      </w:r>
      <w:proofErr w:type="spellStart"/>
      <w:r w:rsidR="006869D0">
        <w:rPr>
          <w:rFonts w:hint="cs"/>
          <w:rtl/>
        </w:rPr>
        <w:t>باحجت</w:t>
      </w:r>
      <w:proofErr w:type="spellEnd"/>
      <w:r w:rsidR="006869D0">
        <w:rPr>
          <w:rFonts w:hint="cs"/>
          <w:rtl/>
        </w:rPr>
        <w:t xml:space="preserve"> باشد</w:t>
      </w:r>
      <w:r>
        <w:rPr>
          <w:rFonts w:hint="cs"/>
          <w:rtl/>
        </w:rPr>
        <w:t>. بلکه</w:t>
      </w:r>
      <w:r w:rsidR="006869D0">
        <w:rPr>
          <w:rFonts w:hint="cs"/>
          <w:rtl/>
        </w:rPr>
        <w:t xml:space="preserve"> </w:t>
      </w:r>
      <w:proofErr w:type="spellStart"/>
      <w:r w:rsidR="006869D0">
        <w:rPr>
          <w:rFonts w:hint="cs"/>
          <w:rtl/>
        </w:rPr>
        <w:t>مدّعی</w:t>
      </w:r>
      <w:proofErr w:type="spellEnd"/>
      <w:r>
        <w:rPr>
          <w:rFonts w:hint="cs"/>
          <w:rtl/>
        </w:rPr>
        <w:t xml:space="preserve"> کسی است که ان </w:t>
      </w:r>
      <w:proofErr w:type="spellStart"/>
      <w:r>
        <w:rPr>
          <w:rFonts w:hint="cs"/>
          <w:rtl/>
        </w:rPr>
        <w:t>تَرَکَ</w:t>
      </w:r>
      <w:proofErr w:type="spellEnd"/>
      <w:r>
        <w:rPr>
          <w:rFonts w:hint="cs"/>
          <w:rtl/>
        </w:rPr>
        <w:t xml:space="preserve"> </w:t>
      </w:r>
      <w:proofErr w:type="spellStart"/>
      <w:r w:rsidR="006869D0">
        <w:rPr>
          <w:rFonts w:hint="cs"/>
          <w:rtl/>
        </w:rPr>
        <w:t>تُرک</w:t>
      </w:r>
      <w:proofErr w:type="spellEnd"/>
      <w:r>
        <w:rPr>
          <w:rFonts w:hint="cs"/>
          <w:rtl/>
        </w:rPr>
        <w:t>، به خلاف م</w:t>
      </w:r>
      <w:r w:rsidR="006869D0">
        <w:rPr>
          <w:rFonts w:hint="cs"/>
          <w:rtl/>
        </w:rPr>
        <w:t>نکر</w:t>
      </w:r>
      <w:r>
        <w:rPr>
          <w:rFonts w:hint="cs"/>
          <w:rtl/>
        </w:rPr>
        <w:t xml:space="preserve">. تخلّص: این تعریف مشهور است ولی </w:t>
      </w:r>
      <w:proofErr w:type="spellStart"/>
      <w:r w:rsidR="006869D0">
        <w:rPr>
          <w:rFonts w:hint="cs"/>
          <w:rtl/>
        </w:rPr>
        <w:t>صحيح</w:t>
      </w:r>
      <w:proofErr w:type="spellEnd"/>
      <w:r w:rsidR="006869D0">
        <w:rPr>
          <w:rFonts w:hint="cs"/>
          <w:rtl/>
        </w:rPr>
        <w:t xml:space="preserve"> </w:t>
      </w:r>
      <w:proofErr w:type="spellStart"/>
      <w:r w:rsidR="006869D0">
        <w:rPr>
          <w:rFonts w:hint="cs"/>
          <w:rtl/>
        </w:rPr>
        <w:t>ني</w:t>
      </w:r>
      <w:r>
        <w:rPr>
          <w:rFonts w:hint="cs"/>
          <w:rtl/>
        </w:rPr>
        <w:t>ست</w:t>
      </w:r>
      <w:proofErr w:type="spellEnd"/>
      <w:r>
        <w:rPr>
          <w:rFonts w:hint="cs"/>
          <w:rtl/>
        </w:rPr>
        <w:t>، چون هم خلاف متفاهم عرفی است و هم موارد نقض دارد. مناقشه 2: قیودی در روایت است که اختصاص به ید مؤکّده پیدا می کند. پاسخ: عرف از آن ها قید توضیحی می فهمد.</w:t>
      </w:r>
    </w:p>
    <w:p w:rsidR="003151FE" w:rsidRDefault="003151FE" w:rsidP="006F160E">
      <w:pPr>
        <w:jc w:val="both"/>
        <w:rPr>
          <w:rtl/>
        </w:rPr>
      </w:pPr>
      <w:r>
        <w:rPr>
          <w:rFonts w:hint="cs"/>
          <w:rtl/>
        </w:rPr>
        <w:t>روایت 4: از مسعده بن صدقه. بررسی سندی: توثیقی ندارد ولی مجلسی پدر با قوّت متن، وثاقتش را مدّعی شدند. لکن این در روایات فقهی دلیل نمی شود، زیرا روایات فقهی فصاحت خاصّی نیاز ندارند.</w:t>
      </w:r>
      <w:r w:rsidR="00505D4D">
        <w:rPr>
          <w:rStyle w:val="ab"/>
          <w:rtl/>
        </w:rPr>
        <w:footnoteReference w:id="13"/>
      </w:r>
    </w:p>
    <w:p w:rsidR="00CB185F" w:rsidRPr="00EF4AC8" w:rsidRDefault="00CB185F" w:rsidP="006F160E">
      <w:pPr>
        <w:jc w:val="both"/>
        <w:rPr>
          <w:rtl/>
        </w:rPr>
      </w:pPr>
    </w:p>
    <w:sectPr w:rsidR="00CB185F" w:rsidRPr="00EF4AC8"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367" w:rsidRDefault="00481367" w:rsidP="008B750B">
      <w:pPr>
        <w:spacing w:line="240" w:lineRule="auto"/>
      </w:pPr>
      <w:r>
        <w:separator/>
      </w:r>
    </w:p>
  </w:endnote>
  <w:endnote w:type="continuationSeparator" w:id="0">
    <w:p w:rsidR="00481367" w:rsidRDefault="0048136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8D65F2" w:rsidRPr="008D65F2">
            <w:rPr>
              <w:noProof/>
              <w:rtl/>
              <w:lang w:val="fa-IR"/>
            </w:rPr>
            <w:t>5</w:t>
          </w:r>
          <w:r>
            <w:rPr>
              <w:noProof/>
            </w:rPr>
            <w:fldChar w:fldCharType="end"/>
          </w:r>
        </w:p>
      </w:tc>
      <w:tc>
        <w:tcPr>
          <w:tcW w:w="4786" w:type="dxa"/>
          <w:tcBorders>
            <w:top w:val="nil"/>
            <w:left w:val="nil"/>
            <w:bottom w:val="nil"/>
            <w:right w:val="nil"/>
          </w:tcBorders>
          <w:vAlign w:val="center"/>
        </w:tcPr>
        <w:p w:rsidR="006D44C1" w:rsidRPr="006D44C1" w:rsidRDefault="003D12AE" w:rsidP="001B6799">
          <w:pPr>
            <w:pStyle w:val="a6"/>
            <w:bidi w:val="0"/>
            <w:rPr>
              <w:color w:val="808080" w:themeColor="background1" w:themeShade="80"/>
              <w:rtl/>
            </w:rPr>
          </w:pPr>
          <w:bookmarkStart w:id="23" w:name="BokAdres"/>
          <w:bookmarkEnd w:id="23"/>
          <w:r>
            <w:rPr>
              <w:color w:val="808080" w:themeColor="background1" w:themeShade="80"/>
            </w:rPr>
            <w:t>U1hs1_13971110-073_mr3_mfeb.ir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367" w:rsidRDefault="00481367" w:rsidP="008B750B">
      <w:pPr>
        <w:spacing w:line="240" w:lineRule="auto"/>
      </w:pPr>
      <w:r>
        <w:separator/>
      </w:r>
    </w:p>
  </w:footnote>
  <w:footnote w:type="continuationSeparator" w:id="0">
    <w:p w:rsidR="00481367" w:rsidRDefault="00481367" w:rsidP="008B750B">
      <w:pPr>
        <w:spacing w:line="240" w:lineRule="auto"/>
      </w:pPr>
      <w:r>
        <w:continuationSeparator/>
      </w:r>
    </w:p>
  </w:footnote>
  <w:footnote w:id="1">
    <w:p w:rsidR="00D40D79" w:rsidRPr="00273E50" w:rsidRDefault="00D40D79" w:rsidP="00D40D79">
      <w:pPr>
        <w:pStyle w:val="a9"/>
        <w:jc w:val="both"/>
      </w:pPr>
      <w:r w:rsidRPr="00273E50">
        <w:footnoteRef/>
      </w:r>
      <w:r w:rsidRPr="00273E50">
        <w:rPr>
          <w:rtl/>
        </w:rPr>
        <w:t xml:space="preserve"> </w:t>
      </w:r>
      <w:hyperlink r:id="rId1" w:history="1">
        <w:r w:rsidRPr="00273E50">
          <w:rPr>
            <w:rStyle w:val="ac"/>
            <w:rtl/>
          </w:rPr>
          <w:t>وسائل الش</w:t>
        </w:r>
        <w:r w:rsidRPr="00273E50">
          <w:rPr>
            <w:rStyle w:val="ac"/>
            <w:rFonts w:hint="cs"/>
            <w:rtl/>
          </w:rPr>
          <w:t>ی</w:t>
        </w:r>
        <w:r w:rsidRPr="00273E50">
          <w:rPr>
            <w:rStyle w:val="ac"/>
            <w:rFonts w:hint="eastAsia"/>
            <w:rtl/>
          </w:rPr>
          <w:t>عة،</w:t>
        </w:r>
        <w:r w:rsidRPr="00273E50">
          <w:rPr>
            <w:rStyle w:val="ac"/>
            <w:rtl/>
          </w:rPr>
          <w:t xml:space="preserve"> الش</w:t>
        </w:r>
        <w:r w:rsidRPr="00273E50">
          <w:rPr>
            <w:rStyle w:val="ac"/>
            <w:rFonts w:hint="cs"/>
            <w:rtl/>
          </w:rPr>
          <w:t>ی</w:t>
        </w:r>
        <w:r w:rsidRPr="00273E50">
          <w:rPr>
            <w:rStyle w:val="ac"/>
            <w:rFonts w:hint="eastAsia"/>
            <w:rtl/>
          </w:rPr>
          <w:t>خ</w:t>
        </w:r>
        <w:r w:rsidRPr="00273E50">
          <w:rPr>
            <w:rStyle w:val="ac"/>
            <w:rtl/>
          </w:rPr>
          <w:t xml:space="preserve"> الحر العاملي، ج27، ص293، أبواب كَيْفِيَّةِ الْحُكْمِ وَ أَحْكَامِ الدَّعْوَى‏، باب25، ح3، ط آل البيت.</w:t>
        </w:r>
      </w:hyperlink>
      <w:r>
        <w:rPr>
          <w:rStyle w:val="ac"/>
          <w:rFonts w:hint="cs"/>
          <w:rtl/>
        </w:rPr>
        <w:t xml:space="preserve"> </w:t>
      </w:r>
      <w:r w:rsidRPr="00B767AD">
        <w:rPr>
          <w:rStyle w:val="ac"/>
          <w:rFonts w:hint="cs"/>
          <w:color w:val="000000"/>
          <w:u w:val="none"/>
          <w:rtl/>
        </w:rPr>
        <w:t>«</w:t>
      </w:r>
      <w:r w:rsidRPr="00B767AD">
        <w:rPr>
          <w:rStyle w:val="ac"/>
          <w:color w:val="000000"/>
          <w:u w:val="none"/>
          <w:rtl/>
        </w:rPr>
        <w:t>عليُّ بن إبراهيم في ( تفسيره ) عن أبيه ، عن ابن أبي عمير ، عن عثمان بن عيسى ، وحمّاد بن عثمان ، جميعاً ، عن أبي عبد الله ( عليه السلام ) ـ في حديث فدك ـ إنّ أمير المؤمنين ( عليه السلام ) قال لأبي بكر : أتحكم فينا بخلاف حكم الله في المسلمين ؟ قال : لا ، قال : فان كان في يد المسلمين شيء يملكونه ، ادَّعيت أنا فيه ، من تسأل البيّنة ؟ قال : إيّاك كنت أسأل البيّنة على ما تدّعيه على المسلمين ، قال : فاذا كان في يدي شيء فادّعى فيه المسلمون ، تسألني البيّنة على ما في يدي ؟ وقد ملكته في حياة رسول الله ( صلّى الله عليه و</w:t>
      </w:r>
      <w:r>
        <w:rPr>
          <w:rStyle w:val="ac"/>
          <w:color w:val="000000"/>
          <w:u w:val="none"/>
          <w:rtl/>
        </w:rPr>
        <w:t>آله ) وبعده ، ولم تسأل المؤمنين</w:t>
      </w:r>
      <w:r w:rsidRPr="00B767AD">
        <w:rPr>
          <w:rStyle w:val="ac"/>
          <w:color w:val="000000"/>
          <w:u w:val="none"/>
          <w:rtl/>
        </w:rPr>
        <w:t xml:space="preserve"> </w:t>
      </w:r>
      <w:r>
        <w:rPr>
          <w:rStyle w:val="ac"/>
          <w:color w:val="000000"/>
          <w:u w:val="none"/>
          <w:rtl/>
        </w:rPr>
        <w:t>البيّنة على ما ادّعوا عليَّ كما سألتني البيّنة</w:t>
      </w:r>
      <w:r>
        <w:rPr>
          <w:rStyle w:val="ac"/>
          <w:rFonts w:hint="cs"/>
          <w:color w:val="000000"/>
          <w:u w:val="none"/>
          <w:rtl/>
        </w:rPr>
        <w:t xml:space="preserve"> </w:t>
      </w:r>
      <w:r w:rsidRPr="00B767AD">
        <w:rPr>
          <w:rStyle w:val="ac"/>
          <w:color w:val="000000"/>
          <w:u w:val="none"/>
          <w:rtl/>
        </w:rPr>
        <w:t>على ما ادَّعيت عليهم ـ إلى أن قال : ـ وقد قال رسول الله ( صلّى الله عليه وآله ) : البيّنة على من ادَّعى ، واليمين على من أنكر</w:t>
      </w:r>
      <w:r w:rsidRPr="00B767AD">
        <w:rPr>
          <w:rStyle w:val="ac"/>
          <w:rFonts w:hint="cs"/>
          <w:color w:val="000000"/>
          <w:u w:val="none"/>
          <w:rtl/>
        </w:rPr>
        <w:t>»</w:t>
      </w:r>
    </w:p>
  </w:footnote>
  <w:footnote w:id="2">
    <w:p w:rsidR="00D2218C" w:rsidRPr="00D2218C" w:rsidRDefault="00D2218C" w:rsidP="00D2218C">
      <w:pPr>
        <w:pStyle w:val="a9"/>
      </w:pPr>
      <w:r w:rsidRPr="00D2218C">
        <w:footnoteRef/>
      </w:r>
      <w:r w:rsidRPr="00D2218C">
        <w:rPr>
          <w:rtl/>
        </w:rPr>
        <w:t xml:space="preserve"> </w:t>
      </w:r>
      <w:hyperlink r:id="rId2" w:history="1">
        <w:r w:rsidRPr="00D2218C">
          <w:rPr>
            <w:rStyle w:val="ac"/>
            <w:rtl/>
          </w:rPr>
          <w:t>منتق</w:t>
        </w:r>
        <w:r w:rsidRPr="00D2218C">
          <w:rPr>
            <w:rStyle w:val="ac"/>
            <w:rFonts w:hint="cs"/>
            <w:rtl/>
          </w:rPr>
          <w:t>ی</w:t>
        </w:r>
        <w:r w:rsidRPr="00D2218C">
          <w:rPr>
            <w:rStyle w:val="ac"/>
            <w:rtl/>
          </w:rPr>
          <w:t xml:space="preserve"> الاصول، س</w:t>
        </w:r>
        <w:r w:rsidRPr="00D2218C">
          <w:rPr>
            <w:rStyle w:val="ac"/>
            <w:rFonts w:hint="cs"/>
            <w:rtl/>
          </w:rPr>
          <w:t>ی</w:t>
        </w:r>
        <w:r w:rsidRPr="00D2218C">
          <w:rPr>
            <w:rStyle w:val="ac"/>
            <w:rFonts w:hint="eastAsia"/>
            <w:rtl/>
          </w:rPr>
          <w:t>د</w:t>
        </w:r>
        <w:r w:rsidRPr="00D2218C">
          <w:rPr>
            <w:rStyle w:val="ac"/>
            <w:rtl/>
          </w:rPr>
          <w:t xml:space="preserve"> محمد حس</w:t>
        </w:r>
        <w:r w:rsidRPr="00D2218C">
          <w:rPr>
            <w:rStyle w:val="ac"/>
            <w:rFonts w:hint="cs"/>
            <w:rtl/>
          </w:rPr>
          <w:t>ی</w:t>
        </w:r>
        <w:r w:rsidRPr="00D2218C">
          <w:rPr>
            <w:rStyle w:val="ac"/>
            <w:rFonts w:hint="eastAsia"/>
            <w:rtl/>
          </w:rPr>
          <w:t>ن</w:t>
        </w:r>
        <w:r w:rsidRPr="00D2218C">
          <w:rPr>
            <w:rStyle w:val="ac"/>
            <w:rFonts w:hint="cs"/>
            <w:rtl/>
          </w:rPr>
          <w:t>ی</w:t>
        </w:r>
        <w:r w:rsidRPr="00D2218C">
          <w:rPr>
            <w:rStyle w:val="ac"/>
            <w:rtl/>
          </w:rPr>
          <w:t xml:space="preserve"> روحان</w:t>
        </w:r>
        <w:r w:rsidRPr="00D2218C">
          <w:rPr>
            <w:rStyle w:val="ac"/>
            <w:rFonts w:hint="cs"/>
            <w:rtl/>
          </w:rPr>
          <w:t>ی</w:t>
        </w:r>
        <w:r w:rsidRPr="00D2218C">
          <w:rPr>
            <w:rStyle w:val="ac"/>
            <w:rFonts w:hint="eastAsia"/>
            <w:rtl/>
          </w:rPr>
          <w:t>،</w:t>
        </w:r>
        <w:r w:rsidRPr="00D2218C">
          <w:rPr>
            <w:rStyle w:val="ac"/>
            <w:rtl/>
          </w:rPr>
          <w:t xml:space="preserve"> ج7، ص10.</w:t>
        </w:r>
      </w:hyperlink>
    </w:p>
  </w:footnote>
  <w:footnote w:id="3">
    <w:p w:rsidR="005428FE" w:rsidRDefault="005428FE">
      <w:pPr>
        <w:pStyle w:val="a9"/>
      </w:pPr>
      <w:r>
        <w:rPr>
          <w:rStyle w:val="ab"/>
        </w:rPr>
        <w:footnoteRef/>
      </w:r>
      <w:r>
        <w:rPr>
          <w:rtl/>
        </w:rPr>
        <w:t xml:space="preserve"> </w:t>
      </w:r>
      <w:r>
        <w:rPr>
          <w:rFonts w:hint="cs"/>
          <w:rtl/>
        </w:rPr>
        <w:t>اسس القضاء و الشهادة، میرزا جواد تبریزی، ج1، ص</w:t>
      </w:r>
      <w:r w:rsidR="00F90B0C">
        <w:rPr>
          <w:rFonts w:hint="cs"/>
          <w:rtl/>
        </w:rPr>
        <w:t>304. «</w:t>
      </w:r>
      <w:r w:rsidR="00F90B0C" w:rsidRPr="00F90B0C">
        <w:rPr>
          <w:rtl/>
        </w:rPr>
        <w:t>أورد على هذا التعريف بأنّه يصدق في موارد دعوى الحق على الغير خاصة</w:t>
      </w:r>
      <w:r w:rsidR="00F90B0C">
        <w:rPr>
          <w:rFonts w:hint="cs"/>
          <w:rtl/>
        </w:rPr>
        <w:t>...»</w:t>
      </w:r>
    </w:p>
  </w:footnote>
  <w:footnote w:id="4">
    <w:p w:rsidR="001621DD" w:rsidRPr="00B90934" w:rsidRDefault="001621DD" w:rsidP="001621DD">
      <w:pPr>
        <w:pStyle w:val="a9"/>
      </w:pPr>
      <w:r w:rsidRPr="00B90934">
        <w:footnoteRef/>
      </w:r>
      <w:r w:rsidRPr="00B90934">
        <w:rPr>
          <w:rtl/>
        </w:rPr>
        <w:t xml:space="preserve"> </w:t>
      </w:r>
      <w:hyperlink r:id="rId3" w:history="1">
        <w:r w:rsidRPr="00B90934">
          <w:rPr>
            <w:rStyle w:val="ac"/>
            <w:rFonts w:hint="eastAsia"/>
            <w:rtl/>
          </w:rPr>
          <w:t>مستمسک</w:t>
        </w:r>
        <w:r w:rsidRPr="00B90934">
          <w:rPr>
            <w:rStyle w:val="ac"/>
            <w:rtl/>
          </w:rPr>
          <w:t xml:space="preserve"> العروه الوثق</w:t>
        </w:r>
        <w:r w:rsidRPr="00B90934">
          <w:rPr>
            <w:rStyle w:val="ac"/>
            <w:rFonts w:hint="cs"/>
            <w:rtl/>
          </w:rPr>
          <w:t>ی</w:t>
        </w:r>
        <w:r w:rsidRPr="00B90934">
          <w:rPr>
            <w:rStyle w:val="ac"/>
            <w:rFonts w:hint="eastAsia"/>
            <w:rtl/>
          </w:rPr>
          <w:t>،</w:t>
        </w:r>
        <w:r w:rsidRPr="00B90934">
          <w:rPr>
            <w:rStyle w:val="ac"/>
            <w:rtl/>
          </w:rPr>
          <w:t xml:space="preserve"> س</w:t>
        </w:r>
        <w:r w:rsidRPr="00B90934">
          <w:rPr>
            <w:rStyle w:val="ac"/>
            <w:rFonts w:hint="cs"/>
            <w:rtl/>
          </w:rPr>
          <w:t>ی</w:t>
        </w:r>
        <w:r w:rsidRPr="00B90934">
          <w:rPr>
            <w:rStyle w:val="ac"/>
            <w:rFonts w:hint="eastAsia"/>
            <w:rtl/>
          </w:rPr>
          <w:t>د</w:t>
        </w:r>
        <w:r w:rsidRPr="00B90934">
          <w:rPr>
            <w:rStyle w:val="ac"/>
            <w:rtl/>
          </w:rPr>
          <w:t xml:space="preserve"> محسن حک</w:t>
        </w:r>
        <w:r w:rsidRPr="00B90934">
          <w:rPr>
            <w:rStyle w:val="ac"/>
            <w:rFonts w:hint="cs"/>
            <w:rtl/>
          </w:rPr>
          <w:t>ی</w:t>
        </w:r>
        <w:r w:rsidRPr="00B90934">
          <w:rPr>
            <w:rStyle w:val="ac"/>
            <w:rFonts w:hint="eastAsia"/>
            <w:rtl/>
          </w:rPr>
          <w:t>م،</w:t>
        </w:r>
        <w:r w:rsidRPr="00B90934">
          <w:rPr>
            <w:rStyle w:val="ac"/>
            <w:rtl/>
          </w:rPr>
          <w:t xml:space="preserve"> ج12، ص156.</w:t>
        </w:r>
      </w:hyperlink>
    </w:p>
  </w:footnote>
  <w:footnote w:id="5">
    <w:p w:rsidR="001621DD" w:rsidRPr="001621DD" w:rsidRDefault="001621DD" w:rsidP="001621DD">
      <w:pPr>
        <w:pStyle w:val="a9"/>
      </w:pPr>
      <w:r w:rsidRPr="001621DD">
        <w:footnoteRef/>
      </w:r>
      <w:r w:rsidRPr="001621DD">
        <w:rPr>
          <w:rtl/>
        </w:rPr>
        <w:t xml:space="preserve"> </w:t>
      </w:r>
      <w:hyperlink r:id="rId4" w:history="1">
        <w:r w:rsidRPr="001621DD">
          <w:rPr>
            <w:rStyle w:val="ac"/>
            <w:rFonts w:hint="eastAsia"/>
            <w:rtl/>
          </w:rPr>
          <w:t>موسوعة</w:t>
        </w:r>
        <w:r w:rsidRPr="001621DD">
          <w:rPr>
            <w:rStyle w:val="ac"/>
            <w:rtl/>
          </w:rPr>
          <w:t xml:space="preserve"> الامام الخوئ</w:t>
        </w:r>
        <w:r w:rsidRPr="001621DD">
          <w:rPr>
            <w:rStyle w:val="ac"/>
            <w:rFonts w:hint="cs"/>
            <w:rtl/>
          </w:rPr>
          <w:t>ی</w:t>
        </w:r>
        <w:r w:rsidRPr="001621DD">
          <w:rPr>
            <w:rStyle w:val="ac"/>
            <w:rFonts w:hint="eastAsia"/>
            <w:rtl/>
          </w:rPr>
          <w:t>،</w:t>
        </w:r>
        <w:r w:rsidRPr="001621DD">
          <w:rPr>
            <w:rStyle w:val="ac"/>
            <w:rtl/>
          </w:rPr>
          <w:t xml:space="preserve"> الس</w:t>
        </w:r>
        <w:r w:rsidRPr="001621DD">
          <w:rPr>
            <w:rStyle w:val="ac"/>
            <w:rFonts w:hint="cs"/>
            <w:rtl/>
          </w:rPr>
          <w:t>ی</w:t>
        </w:r>
        <w:r w:rsidRPr="001621DD">
          <w:rPr>
            <w:rStyle w:val="ac"/>
            <w:rFonts w:hint="eastAsia"/>
            <w:rtl/>
          </w:rPr>
          <w:t>د</w:t>
        </w:r>
        <w:r w:rsidRPr="001621DD">
          <w:rPr>
            <w:rStyle w:val="ac"/>
            <w:rtl/>
          </w:rPr>
          <w:t xml:space="preserve"> أبوالقاسم الخوئ</w:t>
        </w:r>
        <w:r w:rsidRPr="001621DD">
          <w:rPr>
            <w:rStyle w:val="ac"/>
            <w:rFonts w:hint="cs"/>
            <w:rtl/>
          </w:rPr>
          <w:t>ی</w:t>
        </w:r>
        <w:r w:rsidRPr="001621DD">
          <w:rPr>
            <w:rStyle w:val="ac"/>
            <w:rFonts w:hint="eastAsia"/>
            <w:rtl/>
          </w:rPr>
          <w:t>،</w:t>
        </w:r>
        <w:r w:rsidRPr="001621DD">
          <w:rPr>
            <w:rStyle w:val="ac"/>
            <w:rtl/>
          </w:rPr>
          <w:t xml:space="preserve"> ج30، ص423.</w:t>
        </w:r>
      </w:hyperlink>
    </w:p>
  </w:footnote>
  <w:footnote w:id="6">
    <w:p w:rsidR="00B90934" w:rsidRPr="00B90934" w:rsidRDefault="00B90934" w:rsidP="00B90934">
      <w:pPr>
        <w:pStyle w:val="a9"/>
      </w:pPr>
      <w:r w:rsidRPr="00B90934">
        <w:footnoteRef/>
      </w:r>
      <w:r w:rsidRPr="00B90934">
        <w:rPr>
          <w:rtl/>
        </w:rPr>
        <w:t xml:space="preserve"> </w:t>
      </w:r>
      <w:hyperlink r:id="rId5" w:history="1">
        <w:r w:rsidRPr="00B90934">
          <w:rPr>
            <w:rStyle w:val="ac"/>
            <w:rFonts w:hint="eastAsia"/>
            <w:rtl/>
          </w:rPr>
          <w:t>مستمسک</w:t>
        </w:r>
        <w:r w:rsidRPr="00B90934">
          <w:rPr>
            <w:rStyle w:val="ac"/>
            <w:rtl/>
          </w:rPr>
          <w:t xml:space="preserve"> العروه الوثق</w:t>
        </w:r>
        <w:r w:rsidRPr="00B90934">
          <w:rPr>
            <w:rStyle w:val="ac"/>
            <w:rFonts w:hint="cs"/>
            <w:rtl/>
          </w:rPr>
          <w:t>ی</w:t>
        </w:r>
        <w:r w:rsidRPr="00B90934">
          <w:rPr>
            <w:rStyle w:val="ac"/>
            <w:rFonts w:hint="eastAsia"/>
            <w:rtl/>
          </w:rPr>
          <w:t>،</w:t>
        </w:r>
        <w:r w:rsidRPr="00B90934">
          <w:rPr>
            <w:rStyle w:val="ac"/>
            <w:rtl/>
          </w:rPr>
          <w:t xml:space="preserve"> س</w:t>
        </w:r>
        <w:r w:rsidRPr="00B90934">
          <w:rPr>
            <w:rStyle w:val="ac"/>
            <w:rFonts w:hint="cs"/>
            <w:rtl/>
          </w:rPr>
          <w:t>ی</w:t>
        </w:r>
        <w:r w:rsidRPr="00B90934">
          <w:rPr>
            <w:rStyle w:val="ac"/>
            <w:rFonts w:hint="eastAsia"/>
            <w:rtl/>
          </w:rPr>
          <w:t>د</w:t>
        </w:r>
        <w:r w:rsidRPr="00B90934">
          <w:rPr>
            <w:rStyle w:val="ac"/>
            <w:rtl/>
          </w:rPr>
          <w:t xml:space="preserve"> محسن حک</w:t>
        </w:r>
        <w:r w:rsidRPr="00B90934">
          <w:rPr>
            <w:rStyle w:val="ac"/>
            <w:rFonts w:hint="cs"/>
            <w:rtl/>
          </w:rPr>
          <w:t>ی</w:t>
        </w:r>
        <w:r w:rsidRPr="00B90934">
          <w:rPr>
            <w:rStyle w:val="ac"/>
            <w:rFonts w:hint="eastAsia"/>
            <w:rtl/>
          </w:rPr>
          <w:t>م،</w:t>
        </w:r>
        <w:r w:rsidRPr="00B90934">
          <w:rPr>
            <w:rStyle w:val="ac"/>
            <w:rtl/>
          </w:rPr>
          <w:t xml:space="preserve"> ج12، ص156.</w:t>
        </w:r>
      </w:hyperlink>
    </w:p>
  </w:footnote>
  <w:footnote w:id="7">
    <w:p w:rsidR="002F615A" w:rsidRPr="002F615A" w:rsidRDefault="002F615A" w:rsidP="002F615A">
      <w:pPr>
        <w:pStyle w:val="a9"/>
      </w:pPr>
      <w:r w:rsidRPr="002F615A">
        <w:footnoteRef/>
      </w:r>
      <w:r w:rsidRPr="002F615A">
        <w:rPr>
          <w:rtl/>
        </w:rPr>
        <w:t xml:space="preserve"> </w:t>
      </w:r>
      <w:hyperlink r:id="rId6" w:history="1">
        <w:r w:rsidRPr="002F615A">
          <w:rPr>
            <w:rStyle w:val="ac"/>
            <w:rFonts w:hint="eastAsia"/>
            <w:rtl/>
          </w:rPr>
          <w:t>وسائل</w:t>
        </w:r>
        <w:r w:rsidRPr="002F615A">
          <w:rPr>
            <w:rStyle w:val="ac"/>
            <w:rtl/>
          </w:rPr>
          <w:t xml:space="preserve"> الش</w:t>
        </w:r>
        <w:r w:rsidRPr="002F615A">
          <w:rPr>
            <w:rStyle w:val="ac"/>
            <w:rFonts w:hint="cs"/>
            <w:rtl/>
          </w:rPr>
          <w:t>ی</w:t>
        </w:r>
        <w:r w:rsidRPr="002F615A">
          <w:rPr>
            <w:rStyle w:val="ac"/>
            <w:rFonts w:hint="eastAsia"/>
            <w:rtl/>
          </w:rPr>
          <w:t>عة،</w:t>
        </w:r>
        <w:r w:rsidRPr="002F615A">
          <w:rPr>
            <w:rStyle w:val="ac"/>
            <w:rtl/>
          </w:rPr>
          <w:t xml:space="preserve"> الش</w:t>
        </w:r>
        <w:r w:rsidRPr="002F615A">
          <w:rPr>
            <w:rStyle w:val="ac"/>
            <w:rFonts w:hint="cs"/>
            <w:rtl/>
          </w:rPr>
          <w:t>ی</w:t>
        </w:r>
        <w:r w:rsidRPr="002F615A">
          <w:rPr>
            <w:rStyle w:val="ac"/>
            <w:rFonts w:hint="eastAsia"/>
            <w:rtl/>
          </w:rPr>
          <w:t>خ</w:t>
        </w:r>
        <w:r w:rsidRPr="002F615A">
          <w:rPr>
            <w:rStyle w:val="ac"/>
            <w:rtl/>
          </w:rPr>
          <w:t xml:space="preserve"> الحر العاملي، ج27، ص234، أبواب كَيْفِيَّةِ الْحُكْمِ وَ أَحْكَامِ الدَّعْوَى‏، باب3، ح3، ط آل البيت.</w:t>
        </w:r>
      </w:hyperlink>
      <w:r>
        <w:rPr>
          <w:rFonts w:hint="cs"/>
          <w:rtl/>
        </w:rPr>
        <w:t xml:space="preserve"> «</w:t>
      </w:r>
      <w:r w:rsidRPr="002F615A">
        <w:rPr>
          <w:rtl/>
        </w:rPr>
        <w:t xml:space="preserve"> </w:t>
      </w:r>
      <w:r>
        <w:rPr>
          <w:rFonts w:hint="cs"/>
          <w:rtl/>
        </w:rPr>
        <w:t>...</w:t>
      </w:r>
      <w:r w:rsidRPr="002F615A">
        <w:rPr>
          <w:rtl/>
        </w:rPr>
        <w:t>أَنَّ الْبَيِّنَةَ عَلَى الْمُدَّعِي وَ الْيَمِينَ عَلَى الْمُدَّعَى عَلَيْه‏</w:t>
      </w:r>
      <w:r>
        <w:rPr>
          <w:rFonts w:hint="cs"/>
          <w:rtl/>
        </w:rPr>
        <w:t>...»</w:t>
      </w:r>
    </w:p>
  </w:footnote>
  <w:footnote w:id="8">
    <w:p w:rsidR="00866217" w:rsidRDefault="00866217">
      <w:pPr>
        <w:pStyle w:val="a9"/>
      </w:pPr>
      <w:r>
        <w:rPr>
          <w:rStyle w:val="ab"/>
        </w:rPr>
        <w:footnoteRef/>
      </w:r>
      <w:r>
        <w:rPr>
          <w:rtl/>
        </w:rPr>
        <w:t xml:space="preserve"> </w:t>
      </w:r>
      <w:r>
        <w:rPr>
          <w:rFonts w:hint="cs"/>
          <w:rtl/>
        </w:rPr>
        <w:t xml:space="preserve">القواعد الفقهیه، سید علی السیستانی، ج1، ص307. «اما دلالتها علی المدعی فیمکن ان یقال انها تدلّ علی حجیّة </w:t>
      </w:r>
      <w:r w:rsidRPr="00F055E7">
        <w:rPr>
          <w:rFonts w:hint="cs"/>
          <w:u w:val="single"/>
          <w:rtl/>
        </w:rPr>
        <w:t>الید المؤکّده</w:t>
      </w:r>
      <w:r>
        <w:rPr>
          <w:rFonts w:hint="cs"/>
          <w:rtl/>
        </w:rPr>
        <w:t>...»</w:t>
      </w:r>
    </w:p>
  </w:footnote>
  <w:footnote w:id="9">
    <w:p w:rsidR="00F055E7" w:rsidRPr="00F055E7" w:rsidRDefault="00F055E7" w:rsidP="00F055E7">
      <w:pPr>
        <w:pStyle w:val="a9"/>
      </w:pPr>
      <w:r w:rsidRPr="00F055E7">
        <w:footnoteRef/>
      </w:r>
      <w:r w:rsidRPr="00F055E7">
        <w:rPr>
          <w:rtl/>
        </w:rPr>
        <w:t xml:space="preserve"> </w:t>
      </w:r>
      <w:hyperlink r:id="rId7" w:history="1">
        <w:r w:rsidRPr="00F055E7">
          <w:rPr>
            <w:rStyle w:val="ac"/>
            <w:rFonts w:hint="eastAsia"/>
            <w:rtl/>
          </w:rPr>
          <w:t>الاحتجاج،</w:t>
        </w:r>
        <w:r w:rsidRPr="00F055E7">
          <w:rPr>
            <w:rStyle w:val="ac"/>
            <w:rtl/>
          </w:rPr>
          <w:t xml:space="preserve"> ابو منصور الطبرس</w:t>
        </w:r>
        <w:r w:rsidRPr="00F055E7">
          <w:rPr>
            <w:rStyle w:val="ac"/>
            <w:rFonts w:hint="cs"/>
            <w:rtl/>
          </w:rPr>
          <w:t>ی</w:t>
        </w:r>
        <w:r w:rsidRPr="00F055E7">
          <w:rPr>
            <w:rStyle w:val="ac"/>
            <w:rFonts w:hint="eastAsia"/>
            <w:rtl/>
          </w:rPr>
          <w:t>،</w:t>
        </w:r>
        <w:r w:rsidRPr="00F055E7">
          <w:rPr>
            <w:rStyle w:val="ac"/>
            <w:rtl/>
          </w:rPr>
          <w:t xml:space="preserve"> ج1، ص92.</w:t>
        </w:r>
      </w:hyperlink>
    </w:p>
  </w:footnote>
  <w:footnote w:id="10">
    <w:p w:rsidR="00040657" w:rsidRPr="00040657" w:rsidRDefault="00040657" w:rsidP="00040657">
      <w:pPr>
        <w:pStyle w:val="a9"/>
      </w:pPr>
      <w:r w:rsidRPr="00040657">
        <w:footnoteRef/>
      </w:r>
      <w:r w:rsidRPr="00040657">
        <w:rPr>
          <w:rtl/>
        </w:rPr>
        <w:t xml:space="preserve"> </w:t>
      </w:r>
      <w:hyperlink r:id="rId8" w:history="1">
        <w:r w:rsidRPr="00040657">
          <w:rPr>
            <w:rStyle w:val="ac"/>
            <w:rtl/>
          </w:rPr>
          <w:t>عوائد الا</w:t>
        </w:r>
        <w:r w:rsidRPr="00040657">
          <w:rPr>
            <w:rStyle w:val="ac"/>
            <w:rFonts w:hint="cs"/>
            <w:rtl/>
          </w:rPr>
          <w:t>ی</w:t>
        </w:r>
        <w:r w:rsidRPr="00040657">
          <w:rPr>
            <w:rStyle w:val="ac"/>
            <w:rFonts w:hint="eastAsia"/>
            <w:rtl/>
          </w:rPr>
          <w:t>ام</w:t>
        </w:r>
        <w:r w:rsidRPr="00040657">
          <w:rPr>
            <w:rStyle w:val="ac"/>
            <w:rtl/>
          </w:rPr>
          <w:t xml:space="preserve"> ف</w:t>
        </w:r>
        <w:r w:rsidRPr="00040657">
          <w:rPr>
            <w:rStyle w:val="ac"/>
            <w:rFonts w:hint="cs"/>
            <w:rtl/>
          </w:rPr>
          <w:t>ی</w:t>
        </w:r>
        <w:r w:rsidRPr="00040657">
          <w:rPr>
            <w:rStyle w:val="ac"/>
            <w:rtl/>
          </w:rPr>
          <w:t xml:space="preserve"> ب</w:t>
        </w:r>
        <w:r w:rsidRPr="00040657">
          <w:rPr>
            <w:rStyle w:val="ac"/>
            <w:rFonts w:hint="cs"/>
            <w:rtl/>
          </w:rPr>
          <w:t>ی</w:t>
        </w:r>
        <w:r w:rsidRPr="00040657">
          <w:rPr>
            <w:rStyle w:val="ac"/>
            <w:rFonts w:hint="eastAsia"/>
            <w:rtl/>
          </w:rPr>
          <w:t>ان</w:t>
        </w:r>
        <w:r w:rsidRPr="00040657">
          <w:rPr>
            <w:rStyle w:val="ac"/>
            <w:rtl/>
          </w:rPr>
          <w:t xml:space="preserve"> قواعد الاحکام، المول</w:t>
        </w:r>
        <w:r w:rsidRPr="00040657">
          <w:rPr>
            <w:rStyle w:val="ac"/>
            <w:rFonts w:hint="cs"/>
            <w:rtl/>
          </w:rPr>
          <w:t>ی</w:t>
        </w:r>
        <w:r w:rsidRPr="00040657">
          <w:rPr>
            <w:rStyle w:val="ac"/>
            <w:rtl/>
          </w:rPr>
          <w:t xml:space="preserve"> احمد النراق</w:t>
        </w:r>
        <w:r w:rsidRPr="00040657">
          <w:rPr>
            <w:rStyle w:val="ac"/>
            <w:rFonts w:hint="cs"/>
            <w:rtl/>
          </w:rPr>
          <w:t>ی</w:t>
        </w:r>
        <w:r w:rsidRPr="00040657">
          <w:rPr>
            <w:rStyle w:val="ac"/>
            <w:rFonts w:hint="eastAsia"/>
            <w:rtl/>
          </w:rPr>
          <w:t>،</w:t>
        </w:r>
        <w:r w:rsidRPr="00040657">
          <w:rPr>
            <w:rStyle w:val="ac"/>
            <w:rtl/>
          </w:rPr>
          <w:t xml:space="preserve"> ج1، ص738.</w:t>
        </w:r>
      </w:hyperlink>
    </w:p>
  </w:footnote>
  <w:footnote w:id="11">
    <w:p w:rsidR="00A12557" w:rsidRPr="00A12557" w:rsidRDefault="00A12557" w:rsidP="00A12557">
      <w:pPr>
        <w:pStyle w:val="a9"/>
      </w:pPr>
      <w:r w:rsidRPr="00A12557">
        <w:footnoteRef/>
      </w:r>
      <w:r w:rsidRPr="00A12557">
        <w:rPr>
          <w:rtl/>
        </w:rPr>
        <w:t xml:space="preserve"> </w:t>
      </w:r>
      <w:hyperlink r:id="rId9" w:history="1">
        <w:r w:rsidRPr="00A12557">
          <w:rPr>
            <w:rStyle w:val="ac"/>
            <w:rtl/>
          </w:rPr>
          <w:t>وسائل الش</w:t>
        </w:r>
        <w:r w:rsidRPr="00A12557">
          <w:rPr>
            <w:rStyle w:val="ac"/>
            <w:rFonts w:hint="cs"/>
            <w:rtl/>
          </w:rPr>
          <w:t>ی</w:t>
        </w:r>
        <w:r w:rsidRPr="00A12557">
          <w:rPr>
            <w:rStyle w:val="ac"/>
            <w:rFonts w:hint="eastAsia"/>
            <w:rtl/>
          </w:rPr>
          <w:t>عة،</w:t>
        </w:r>
        <w:r w:rsidRPr="00A12557">
          <w:rPr>
            <w:rStyle w:val="ac"/>
            <w:rtl/>
          </w:rPr>
          <w:t xml:space="preserve"> الش</w:t>
        </w:r>
        <w:r w:rsidRPr="00A12557">
          <w:rPr>
            <w:rStyle w:val="ac"/>
            <w:rFonts w:hint="cs"/>
            <w:rtl/>
          </w:rPr>
          <w:t>ی</w:t>
        </w:r>
        <w:r w:rsidRPr="00A12557">
          <w:rPr>
            <w:rStyle w:val="ac"/>
            <w:rFonts w:hint="eastAsia"/>
            <w:rtl/>
          </w:rPr>
          <w:t>خ</w:t>
        </w:r>
        <w:r w:rsidRPr="00A12557">
          <w:rPr>
            <w:rStyle w:val="ac"/>
            <w:rtl/>
          </w:rPr>
          <w:t xml:space="preserve"> الحر العاملي، ج17، ص89، أبواب مَا يُكْتَسَبُ بِه‏، باب4، ح4، ط آل البيت.</w:t>
        </w:r>
      </w:hyperlink>
    </w:p>
  </w:footnote>
  <w:footnote w:id="12">
    <w:p w:rsidR="009876FF" w:rsidRPr="009876FF" w:rsidRDefault="009876FF" w:rsidP="009876FF">
      <w:pPr>
        <w:pStyle w:val="a9"/>
      </w:pPr>
      <w:r w:rsidRPr="009876FF">
        <w:footnoteRef/>
      </w:r>
      <w:r w:rsidRPr="009876FF">
        <w:rPr>
          <w:rtl/>
        </w:rPr>
        <w:t xml:space="preserve"> </w:t>
      </w:r>
      <w:hyperlink r:id="rId10" w:history="1">
        <w:r w:rsidRPr="009876FF">
          <w:rPr>
            <w:rStyle w:val="ac"/>
            <w:rtl/>
          </w:rPr>
          <w:t>روضة المتق</w:t>
        </w:r>
        <w:r w:rsidRPr="009876FF">
          <w:rPr>
            <w:rStyle w:val="ac"/>
            <w:rFonts w:hint="cs"/>
            <w:rtl/>
          </w:rPr>
          <w:t>ی</w:t>
        </w:r>
        <w:r w:rsidRPr="009876FF">
          <w:rPr>
            <w:rStyle w:val="ac"/>
            <w:rFonts w:hint="eastAsia"/>
            <w:rtl/>
          </w:rPr>
          <w:t>ن،</w:t>
        </w:r>
        <w:r w:rsidRPr="009876FF">
          <w:rPr>
            <w:rStyle w:val="ac"/>
            <w:rtl/>
          </w:rPr>
          <w:t xml:space="preserve"> محمد تق</w:t>
        </w:r>
        <w:r w:rsidRPr="009876FF">
          <w:rPr>
            <w:rStyle w:val="ac"/>
            <w:rFonts w:hint="cs"/>
            <w:rtl/>
          </w:rPr>
          <w:t>ی</w:t>
        </w:r>
        <w:r w:rsidRPr="009876FF">
          <w:rPr>
            <w:rStyle w:val="ac"/>
            <w:rtl/>
          </w:rPr>
          <w:t xml:space="preserve"> المجلس</w:t>
        </w:r>
        <w:r w:rsidRPr="009876FF">
          <w:rPr>
            <w:rStyle w:val="ac"/>
            <w:rFonts w:hint="cs"/>
            <w:rtl/>
          </w:rPr>
          <w:t>ی</w:t>
        </w:r>
        <w:r w:rsidRPr="009876FF">
          <w:rPr>
            <w:rStyle w:val="ac"/>
            <w:rFonts w:hint="eastAsia"/>
            <w:rtl/>
          </w:rPr>
          <w:t>،</w:t>
        </w:r>
        <w:r w:rsidRPr="009876FF">
          <w:rPr>
            <w:rStyle w:val="ac"/>
            <w:rtl/>
          </w:rPr>
          <w:t xml:space="preserve"> ج14، ص266.</w:t>
        </w:r>
      </w:hyperlink>
    </w:p>
  </w:footnote>
  <w:footnote w:id="13">
    <w:p w:rsidR="00505D4D" w:rsidRDefault="00505D4D">
      <w:pPr>
        <w:pStyle w:val="a9"/>
      </w:pPr>
      <w:r>
        <w:rPr>
          <w:rStyle w:val="ab"/>
        </w:rPr>
        <w:footnoteRef/>
      </w:r>
      <w:r>
        <w:rPr>
          <w:rtl/>
        </w:rPr>
        <w:t xml:space="preserve"> </w:t>
      </w:r>
      <w:r>
        <w:rPr>
          <w:rFonts w:hint="cs"/>
          <w:rtl/>
        </w:rPr>
        <w:t>خلاصه جلسه از مقرر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3D12AE">
      <w:rPr>
        <w:b/>
        <w:bCs/>
        <w:sz w:val="20"/>
        <w:szCs w:val="24"/>
        <w:rtl/>
      </w:rPr>
      <w:t>073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3D12AE">
      <w:rPr>
        <w:b/>
        <w:bCs/>
        <w:color w:val="632423" w:themeColor="accent2" w:themeShade="80"/>
        <w:sz w:val="20"/>
        <w:szCs w:val="24"/>
        <w:rtl/>
      </w:rPr>
      <w:t>اصول</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3D12AE">
      <w:rPr>
        <w:b/>
        <w:bCs/>
        <w:color w:val="632423" w:themeColor="accent2" w:themeShade="80"/>
        <w:sz w:val="20"/>
        <w:szCs w:val="24"/>
        <w:rtl/>
      </w:rPr>
      <w:t>حس</w:t>
    </w:r>
    <w:r w:rsidR="003D12AE">
      <w:rPr>
        <w:rFonts w:hint="cs"/>
        <w:b/>
        <w:bCs/>
        <w:color w:val="632423" w:themeColor="accent2" w:themeShade="80"/>
        <w:sz w:val="20"/>
        <w:szCs w:val="24"/>
        <w:rtl/>
      </w:rPr>
      <w:t>ی</w:t>
    </w:r>
    <w:r w:rsidR="003D12AE">
      <w:rPr>
        <w:rFonts w:hint="eastAsia"/>
        <w:b/>
        <w:bCs/>
        <w:color w:val="632423" w:themeColor="accent2" w:themeShade="80"/>
        <w:sz w:val="20"/>
        <w:szCs w:val="24"/>
        <w:rtl/>
      </w:rPr>
      <w:t>ن</w:t>
    </w:r>
    <w:r w:rsidR="003D12AE">
      <w:rPr>
        <w:b/>
        <w:bCs/>
        <w:color w:val="632423" w:themeColor="accent2" w:themeShade="80"/>
        <w:sz w:val="20"/>
        <w:szCs w:val="24"/>
        <w:rtl/>
      </w:rPr>
      <w:t xml:space="preserve"> شوپا</w:t>
    </w:r>
    <w:r w:rsidR="003D12AE">
      <w:rPr>
        <w:rFonts w:hint="cs"/>
        <w:b/>
        <w:bCs/>
        <w:color w:val="632423" w:themeColor="accent2" w:themeShade="80"/>
        <w:sz w:val="20"/>
        <w:szCs w:val="24"/>
        <w:rtl/>
      </w:rPr>
      <w:t>یی</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3D12AE">
      <w:rPr>
        <w:sz w:val="24"/>
        <w:szCs w:val="24"/>
        <w:rtl/>
      </w:rPr>
      <w:t>10 /11 /1397</w:t>
    </w:r>
  </w:p>
  <w:p w:rsidR="00FA3B17" w:rsidRPr="00F16B53" w:rsidRDefault="00935A55" w:rsidP="00C323B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3D12AE">
      <w:rPr>
        <w:color w:val="000000" w:themeColor="text1"/>
        <w:sz w:val="24"/>
        <w:szCs w:val="24"/>
        <w:rtl/>
      </w:rPr>
      <w:t xml:space="preserve">قاعده </w:t>
    </w:r>
    <w:r w:rsidR="003D12AE">
      <w:rPr>
        <w:rFonts w:hint="cs"/>
        <w:color w:val="000000" w:themeColor="text1"/>
        <w:sz w:val="24"/>
        <w:szCs w:val="24"/>
        <w:rtl/>
      </w:rPr>
      <w:t>ی</w:t>
    </w:r>
    <w:r w:rsidR="003D12AE">
      <w:rPr>
        <w:rFonts w:hint="eastAsia"/>
        <w:color w:val="000000" w:themeColor="text1"/>
        <w:sz w:val="24"/>
        <w:szCs w:val="24"/>
        <w:rtl/>
      </w:rPr>
      <w:t>د</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3D12AE">
      <w:rPr>
        <w:sz w:val="24"/>
        <w:szCs w:val="24"/>
        <w:rtl/>
      </w:rPr>
      <w:t>مرتض</w:t>
    </w:r>
    <w:r w:rsidR="003D12AE">
      <w:rPr>
        <w:rFonts w:hint="cs"/>
        <w:sz w:val="24"/>
        <w:szCs w:val="24"/>
        <w:rtl/>
      </w:rPr>
      <w:t>ی</w:t>
    </w:r>
    <w:r w:rsidR="003D12AE">
      <w:rPr>
        <w:sz w:val="24"/>
        <w:szCs w:val="24"/>
        <w:rtl/>
      </w:rPr>
      <w:t xml:space="preserve"> رادمهر</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C323B9">
      <w:rPr>
        <w:rFonts w:hint="cs"/>
        <w:sz w:val="24"/>
        <w:szCs w:val="24"/>
        <w:rtl/>
      </w:rPr>
      <w:t>دلیل قاعده، روایت 3 و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651B78"/>
    <w:multiLevelType w:val="hybridMultilevel"/>
    <w:tmpl w:val="DCECF0EC"/>
    <w:lvl w:ilvl="0" w:tplc="F7A643D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126C"/>
    <w:rsid w:val="000353D7"/>
    <w:rsid w:val="00035528"/>
    <w:rsid w:val="0004065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177F"/>
    <w:rsid w:val="00124E3D"/>
    <w:rsid w:val="00125CE7"/>
    <w:rsid w:val="00127E95"/>
    <w:rsid w:val="00130659"/>
    <w:rsid w:val="001347C7"/>
    <w:rsid w:val="001356B0"/>
    <w:rsid w:val="00151937"/>
    <w:rsid w:val="001621DD"/>
    <w:rsid w:val="0017497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D7187"/>
    <w:rsid w:val="001E26E2"/>
    <w:rsid w:val="001E3FD4"/>
    <w:rsid w:val="0020241A"/>
    <w:rsid w:val="00203821"/>
    <w:rsid w:val="00211632"/>
    <w:rsid w:val="0021630D"/>
    <w:rsid w:val="0023375B"/>
    <w:rsid w:val="0024121B"/>
    <w:rsid w:val="00247242"/>
    <w:rsid w:val="00247D2F"/>
    <w:rsid w:val="00256560"/>
    <w:rsid w:val="0027605E"/>
    <w:rsid w:val="00281E00"/>
    <w:rsid w:val="00294A52"/>
    <w:rsid w:val="002B575F"/>
    <w:rsid w:val="002B729B"/>
    <w:rsid w:val="002C23B5"/>
    <w:rsid w:val="002C53A2"/>
    <w:rsid w:val="002D0040"/>
    <w:rsid w:val="002D2FA8"/>
    <w:rsid w:val="002E220F"/>
    <w:rsid w:val="002F615A"/>
    <w:rsid w:val="00307311"/>
    <w:rsid w:val="003151FE"/>
    <w:rsid w:val="0032100F"/>
    <w:rsid w:val="00331A6B"/>
    <w:rsid w:val="0033402C"/>
    <w:rsid w:val="00340521"/>
    <w:rsid w:val="00345C73"/>
    <w:rsid w:val="00354A99"/>
    <w:rsid w:val="00360311"/>
    <w:rsid w:val="00361922"/>
    <w:rsid w:val="0037339B"/>
    <w:rsid w:val="003867FB"/>
    <w:rsid w:val="00386C11"/>
    <w:rsid w:val="00391B57"/>
    <w:rsid w:val="00397466"/>
    <w:rsid w:val="003A6148"/>
    <w:rsid w:val="003C33F6"/>
    <w:rsid w:val="003C3D2E"/>
    <w:rsid w:val="003C43A5"/>
    <w:rsid w:val="003D12AE"/>
    <w:rsid w:val="003E0175"/>
    <w:rsid w:val="003E1C5C"/>
    <w:rsid w:val="003E6650"/>
    <w:rsid w:val="003F499C"/>
    <w:rsid w:val="003F5B46"/>
    <w:rsid w:val="00401363"/>
    <w:rsid w:val="00402E47"/>
    <w:rsid w:val="00425015"/>
    <w:rsid w:val="00430994"/>
    <w:rsid w:val="004352BB"/>
    <w:rsid w:val="00441B6D"/>
    <w:rsid w:val="00444089"/>
    <w:rsid w:val="004556EF"/>
    <w:rsid w:val="00462B07"/>
    <w:rsid w:val="00465BD2"/>
    <w:rsid w:val="004715C8"/>
    <w:rsid w:val="00481367"/>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5D4D"/>
    <w:rsid w:val="00507BBB"/>
    <w:rsid w:val="005128DF"/>
    <w:rsid w:val="0051592A"/>
    <w:rsid w:val="005206FE"/>
    <w:rsid w:val="005257ED"/>
    <w:rsid w:val="005306F8"/>
    <w:rsid w:val="0054023D"/>
    <w:rsid w:val="005426BF"/>
    <w:rsid w:val="005428FE"/>
    <w:rsid w:val="0056213C"/>
    <w:rsid w:val="00574190"/>
    <w:rsid w:val="00580C24"/>
    <w:rsid w:val="005906CF"/>
    <w:rsid w:val="00595FCA"/>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869D0"/>
    <w:rsid w:val="00695519"/>
    <w:rsid w:val="006A4134"/>
    <w:rsid w:val="006A5DDA"/>
    <w:rsid w:val="006A6701"/>
    <w:rsid w:val="006B21F4"/>
    <w:rsid w:val="006B3753"/>
    <w:rsid w:val="006B7AD6"/>
    <w:rsid w:val="006C50FD"/>
    <w:rsid w:val="006C7F98"/>
    <w:rsid w:val="006D1DD4"/>
    <w:rsid w:val="006D4014"/>
    <w:rsid w:val="006D44C1"/>
    <w:rsid w:val="006E5651"/>
    <w:rsid w:val="006E5B85"/>
    <w:rsid w:val="006F026A"/>
    <w:rsid w:val="006F160E"/>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A61"/>
    <w:rsid w:val="00830C53"/>
    <w:rsid w:val="00837FAA"/>
    <w:rsid w:val="00841F77"/>
    <w:rsid w:val="0085276D"/>
    <w:rsid w:val="00863390"/>
    <w:rsid w:val="0086385C"/>
    <w:rsid w:val="00866217"/>
    <w:rsid w:val="00871916"/>
    <w:rsid w:val="008837B0"/>
    <w:rsid w:val="008956DD"/>
    <w:rsid w:val="008A510E"/>
    <w:rsid w:val="008A522A"/>
    <w:rsid w:val="008B4464"/>
    <w:rsid w:val="008B750B"/>
    <w:rsid w:val="008C1D72"/>
    <w:rsid w:val="008C3162"/>
    <w:rsid w:val="008D1F14"/>
    <w:rsid w:val="008D65F2"/>
    <w:rsid w:val="008E3924"/>
    <w:rsid w:val="008F13F7"/>
    <w:rsid w:val="008F5B4D"/>
    <w:rsid w:val="00907425"/>
    <w:rsid w:val="00911A48"/>
    <w:rsid w:val="00923C34"/>
    <w:rsid w:val="00924152"/>
    <w:rsid w:val="0092513D"/>
    <w:rsid w:val="00926693"/>
    <w:rsid w:val="00927A9F"/>
    <w:rsid w:val="009335CC"/>
    <w:rsid w:val="009354E7"/>
    <w:rsid w:val="00935A55"/>
    <w:rsid w:val="00941CEB"/>
    <w:rsid w:val="0094720F"/>
    <w:rsid w:val="00953B28"/>
    <w:rsid w:val="00954322"/>
    <w:rsid w:val="00957CAA"/>
    <w:rsid w:val="0096778A"/>
    <w:rsid w:val="00977656"/>
    <w:rsid w:val="009846A7"/>
    <w:rsid w:val="009876FF"/>
    <w:rsid w:val="0098794D"/>
    <w:rsid w:val="009937CB"/>
    <w:rsid w:val="0099497B"/>
    <w:rsid w:val="009A43BA"/>
    <w:rsid w:val="009B0D05"/>
    <w:rsid w:val="009B4CA6"/>
    <w:rsid w:val="009B79F8"/>
    <w:rsid w:val="009C66D5"/>
    <w:rsid w:val="009D0360"/>
    <w:rsid w:val="009D13FD"/>
    <w:rsid w:val="009D266A"/>
    <w:rsid w:val="009E2DC9"/>
    <w:rsid w:val="009F7E07"/>
    <w:rsid w:val="00A01522"/>
    <w:rsid w:val="00A10A11"/>
    <w:rsid w:val="00A12557"/>
    <w:rsid w:val="00A13C6A"/>
    <w:rsid w:val="00A17B09"/>
    <w:rsid w:val="00A457C6"/>
    <w:rsid w:val="00A46AD0"/>
    <w:rsid w:val="00A47063"/>
    <w:rsid w:val="00A473A8"/>
    <w:rsid w:val="00A513F0"/>
    <w:rsid w:val="00A61AC8"/>
    <w:rsid w:val="00A6366F"/>
    <w:rsid w:val="00A65D4C"/>
    <w:rsid w:val="00A70512"/>
    <w:rsid w:val="00AA1F60"/>
    <w:rsid w:val="00AA3D65"/>
    <w:rsid w:val="00AA40D7"/>
    <w:rsid w:val="00AA7A55"/>
    <w:rsid w:val="00AB5F7D"/>
    <w:rsid w:val="00AC0C50"/>
    <w:rsid w:val="00AC6FE2"/>
    <w:rsid w:val="00AF3925"/>
    <w:rsid w:val="00B1296B"/>
    <w:rsid w:val="00B2292F"/>
    <w:rsid w:val="00B27AEE"/>
    <w:rsid w:val="00B43169"/>
    <w:rsid w:val="00B501A8"/>
    <w:rsid w:val="00B55AE4"/>
    <w:rsid w:val="00B70B46"/>
    <w:rsid w:val="00B739B0"/>
    <w:rsid w:val="00B814A3"/>
    <w:rsid w:val="00B90934"/>
    <w:rsid w:val="00B96F38"/>
    <w:rsid w:val="00BC716B"/>
    <w:rsid w:val="00BD0E74"/>
    <w:rsid w:val="00BD3710"/>
    <w:rsid w:val="00BD5F8C"/>
    <w:rsid w:val="00BE29DD"/>
    <w:rsid w:val="00C066AF"/>
    <w:rsid w:val="00C10E06"/>
    <w:rsid w:val="00C145B8"/>
    <w:rsid w:val="00C17F06"/>
    <w:rsid w:val="00C2438F"/>
    <w:rsid w:val="00C31AF0"/>
    <w:rsid w:val="00C323B9"/>
    <w:rsid w:val="00C32A7E"/>
    <w:rsid w:val="00C34F28"/>
    <w:rsid w:val="00C368DF"/>
    <w:rsid w:val="00C442C5"/>
    <w:rsid w:val="00C57B5C"/>
    <w:rsid w:val="00C57C7C"/>
    <w:rsid w:val="00C61049"/>
    <w:rsid w:val="00C63FFE"/>
    <w:rsid w:val="00C8474C"/>
    <w:rsid w:val="00C91EB6"/>
    <w:rsid w:val="00CA10B0"/>
    <w:rsid w:val="00CA2F8E"/>
    <w:rsid w:val="00CA3EE2"/>
    <w:rsid w:val="00CA7FD5"/>
    <w:rsid w:val="00CB1841"/>
    <w:rsid w:val="00CB185F"/>
    <w:rsid w:val="00CB3287"/>
    <w:rsid w:val="00CB33E2"/>
    <w:rsid w:val="00CB4E68"/>
    <w:rsid w:val="00CC2733"/>
    <w:rsid w:val="00CD0050"/>
    <w:rsid w:val="00CE7481"/>
    <w:rsid w:val="00CF0A8F"/>
    <w:rsid w:val="00D048CE"/>
    <w:rsid w:val="00D10998"/>
    <w:rsid w:val="00D15CBD"/>
    <w:rsid w:val="00D2218C"/>
    <w:rsid w:val="00D221CB"/>
    <w:rsid w:val="00D22347"/>
    <w:rsid w:val="00D23391"/>
    <w:rsid w:val="00D26FFD"/>
    <w:rsid w:val="00D31805"/>
    <w:rsid w:val="00D40D79"/>
    <w:rsid w:val="00D552B9"/>
    <w:rsid w:val="00D735B2"/>
    <w:rsid w:val="00D74021"/>
    <w:rsid w:val="00D76D01"/>
    <w:rsid w:val="00D922A9"/>
    <w:rsid w:val="00D9394A"/>
    <w:rsid w:val="00DB0CBB"/>
    <w:rsid w:val="00DB67CC"/>
    <w:rsid w:val="00DC3783"/>
    <w:rsid w:val="00DD7FF5"/>
    <w:rsid w:val="00DE1070"/>
    <w:rsid w:val="00E00219"/>
    <w:rsid w:val="00E0316B"/>
    <w:rsid w:val="00E25E10"/>
    <w:rsid w:val="00E4621F"/>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EF4AC8"/>
    <w:rsid w:val="00F055E7"/>
    <w:rsid w:val="00F07FB6"/>
    <w:rsid w:val="00F11CDF"/>
    <w:rsid w:val="00F149D0"/>
    <w:rsid w:val="00F16B53"/>
    <w:rsid w:val="00F25ECD"/>
    <w:rsid w:val="00F273DD"/>
    <w:rsid w:val="00F318BE"/>
    <w:rsid w:val="00F33297"/>
    <w:rsid w:val="00F343FB"/>
    <w:rsid w:val="00F359FE"/>
    <w:rsid w:val="00F42159"/>
    <w:rsid w:val="00F4256E"/>
    <w:rsid w:val="00F42EE1"/>
    <w:rsid w:val="00F52796"/>
    <w:rsid w:val="00F549C6"/>
    <w:rsid w:val="00F60F1F"/>
    <w:rsid w:val="00F64141"/>
    <w:rsid w:val="00F67508"/>
    <w:rsid w:val="00F71FC9"/>
    <w:rsid w:val="00F73B48"/>
    <w:rsid w:val="00F74F51"/>
    <w:rsid w:val="00F759DA"/>
    <w:rsid w:val="00F842AD"/>
    <w:rsid w:val="00F8431F"/>
    <w:rsid w:val="00F90147"/>
    <w:rsid w:val="00F90B0C"/>
    <w:rsid w:val="00F914EB"/>
    <w:rsid w:val="00F915D3"/>
    <w:rsid w:val="00F91B85"/>
    <w:rsid w:val="00F938E7"/>
    <w:rsid w:val="00FA3B17"/>
    <w:rsid w:val="00FA5E8D"/>
    <w:rsid w:val="00FA5F3D"/>
    <w:rsid w:val="00FB399E"/>
    <w:rsid w:val="00FB7F50"/>
    <w:rsid w:val="00FC2A85"/>
    <w:rsid w:val="00FC40AF"/>
    <w:rsid w:val="00FC73B9"/>
    <w:rsid w:val="00FD0A16"/>
    <w:rsid w:val="00FD6B20"/>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lib.eshia.ir/86804/1/738/&#1605;&#1587;&#1593;&#1583;&#1577;" TargetMode="External"/><Relationship Id="rId3" Type="http://schemas.openxmlformats.org/officeDocument/2006/relationships/hyperlink" Target="http://lib.eshia.ir/10152/12/156/&#1578;&#1601;&#1587;&#1740;&#1585;" TargetMode="External"/><Relationship Id="rId7" Type="http://schemas.openxmlformats.org/officeDocument/2006/relationships/hyperlink" Target="http://lib.eshia.ir/10412/1/92/&#1740;&#1583;&#1740;&#1607;&#1575;" TargetMode="External"/><Relationship Id="rId2" Type="http://schemas.openxmlformats.org/officeDocument/2006/relationships/hyperlink" Target="http://lib.eshia.ir/13050/7/10/&#1575;&#1604;&#1575;&#1606;&#1589;&#1575;&#1601;" TargetMode="External"/><Relationship Id="rId1" Type="http://schemas.openxmlformats.org/officeDocument/2006/relationships/hyperlink" Target="http://lib.eshia.ir/11025/27/293/&#1601;&#1583;&#1705;" TargetMode="External"/><Relationship Id="rId6" Type="http://schemas.openxmlformats.org/officeDocument/2006/relationships/hyperlink" Target="http://lib.eshia.ir/11025/27/234/&#1576;&#1589;&#1740;&#1585;" TargetMode="External"/><Relationship Id="rId5" Type="http://schemas.openxmlformats.org/officeDocument/2006/relationships/hyperlink" Target="http://lib.eshia.ir/10152/12/156/&#1578;&#1601;&#1587;&#1740;&#1585;" TargetMode="External"/><Relationship Id="rId10" Type="http://schemas.openxmlformats.org/officeDocument/2006/relationships/hyperlink" Target="http://lib.eshia.ir/71453/14/266/&#1575;&#1604;&#1605;&#1578;&#1575;&#1606;&#1577;" TargetMode="External"/><Relationship Id="rId4" Type="http://schemas.openxmlformats.org/officeDocument/2006/relationships/hyperlink" Target="http://lib.eshia.ir/71334/30/423/&#1578;&#1601;&#1587;&#1740;&#1585;&#1607;" TargetMode="External"/><Relationship Id="rId9" Type="http://schemas.openxmlformats.org/officeDocument/2006/relationships/hyperlink" Target="http://lib.eshia.ir/11025/17/89/&#1605;&#1587;&#1593;&#1583;&#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1E966-152F-4F6E-97CC-1677E92C8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1756</TotalTime>
  <Pages>6</Pages>
  <Words>1187</Words>
  <Characters>6769</Characters>
  <Application>Microsoft Office Word</Application>
  <DocSecurity>0</DocSecurity>
  <Lines>56</Lines>
  <Paragraphs>15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7941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52</cp:revision>
  <dcterms:created xsi:type="dcterms:W3CDTF">2019-01-30T04:49:00Z</dcterms:created>
  <dcterms:modified xsi:type="dcterms:W3CDTF">2019-02-02T08:17:00Z</dcterms:modified>
  <cp:contentStatus>ویرایش 2.5</cp:contentStatus>
  <cp:version>2.7</cp:version>
</cp:coreProperties>
</file>