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97" w:rsidRPr="00C91EB6" w:rsidRDefault="00D10497" w:rsidP="00D10497">
      <w:pPr>
        <w:jc w:val="center"/>
      </w:pPr>
      <w:r>
        <w:rPr>
          <w:rFonts w:hint="cs"/>
          <w:noProof/>
          <w:rtl/>
        </w:rPr>
        <w:drawing>
          <wp:inline distT="0" distB="0" distL="0" distR="0" wp14:anchorId="258194D6" wp14:editId="7737ABF2">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Fonts w:ascii="Calibri" w:eastAsia="Calibri" w:hAnsi="Calibri" w:cs="B Badr"/>
          <w:b w:val="0"/>
          <w:bCs w:val="0"/>
          <w:color w:val="auto"/>
          <w:sz w:val="22"/>
          <w:lang w:eastAsia="en-US" w:bidi="fa-IR"/>
        </w:rPr>
        <w:id w:val="-1534955042"/>
        <w:docPartObj>
          <w:docPartGallery w:val="Table of Contents"/>
          <w:docPartUnique/>
        </w:docPartObj>
      </w:sdtPr>
      <w:sdtEndPr>
        <w:rPr>
          <w:noProof/>
          <w:rtl/>
        </w:rPr>
      </w:sdtEndPr>
      <w:sdtContent>
        <w:p w:rsidR="00D10497" w:rsidRDefault="00D10497" w:rsidP="00D10497">
          <w:pPr>
            <w:pStyle w:val="afa"/>
          </w:pPr>
        </w:p>
        <w:p w:rsidR="00D10497" w:rsidRDefault="00D10497" w:rsidP="00D10497">
          <w:pPr>
            <w:pStyle w:val="1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536499453" w:history="1">
            <w:r w:rsidRPr="00BB67FB">
              <w:rPr>
                <w:rStyle w:val="ac"/>
                <w:noProof/>
                <w:rtl/>
              </w:rPr>
              <w:t>ادامه بررس</w:t>
            </w:r>
            <w:r w:rsidRPr="00BB67FB">
              <w:rPr>
                <w:rStyle w:val="ac"/>
                <w:rFonts w:hint="cs"/>
                <w:noProof/>
                <w:rtl/>
              </w:rPr>
              <w:t>ی</w:t>
            </w:r>
            <w:r w:rsidRPr="00BB67FB">
              <w:rPr>
                <w:rStyle w:val="ac"/>
                <w:noProof/>
                <w:rtl/>
              </w:rPr>
              <w:t xml:space="preserve"> روا</w:t>
            </w:r>
            <w:r w:rsidRPr="00BB67FB">
              <w:rPr>
                <w:rStyle w:val="ac"/>
                <w:rFonts w:hint="cs"/>
                <w:noProof/>
                <w:rtl/>
              </w:rPr>
              <w:t>ی</w:t>
            </w:r>
            <w:r w:rsidRPr="00BB67FB">
              <w:rPr>
                <w:rStyle w:val="ac"/>
                <w:rFonts w:hint="eastAsia"/>
                <w:noProof/>
                <w:rtl/>
              </w:rPr>
              <w:t>ت</w:t>
            </w:r>
            <w:r w:rsidRPr="00BB67FB">
              <w:rPr>
                <w:rStyle w:val="ac"/>
                <w:noProof/>
                <w:rtl/>
              </w:rPr>
              <w:t xml:space="preserve"> حفص بن غ</w:t>
            </w:r>
            <w:r w:rsidRPr="00BB67FB">
              <w:rPr>
                <w:rStyle w:val="ac"/>
                <w:rFonts w:hint="cs"/>
                <w:noProof/>
                <w:rtl/>
              </w:rPr>
              <w:t>ی</w:t>
            </w:r>
            <w:r w:rsidRPr="00BB67FB">
              <w:rPr>
                <w:rStyle w:val="ac"/>
                <w:rFonts w:hint="eastAsia"/>
                <w:noProof/>
                <w:rtl/>
              </w:rPr>
              <w:t>اث</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Toc536499453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D10497" w:rsidRDefault="00206D0A" w:rsidP="00D10497">
          <w:pPr>
            <w:pStyle w:val="22"/>
            <w:tabs>
              <w:tab w:val="right" w:leader="dot" w:pos="10194"/>
            </w:tabs>
            <w:rPr>
              <w:rFonts w:asciiTheme="minorHAnsi" w:eastAsiaTheme="minorEastAsia" w:hAnsiTheme="minorHAnsi" w:cstheme="minorBidi"/>
              <w:bCs w:val="0"/>
              <w:noProof/>
              <w:color w:val="auto"/>
              <w:szCs w:val="22"/>
              <w:rtl/>
              <w:lang w:bidi="ar-SA"/>
            </w:rPr>
          </w:pPr>
          <w:hyperlink w:anchor="_Toc536499454" w:history="1">
            <w:r w:rsidR="00D10497" w:rsidRPr="00BB67FB">
              <w:rPr>
                <w:rStyle w:val="ac"/>
                <w:noProof/>
                <w:rtl/>
              </w:rPr>
              <w:t>مناقشه دلال</w:t>
            </w:r>
            <w:r w:rsidR="00D10497" w:rsidRPr="00BB67FB">
              <w:rPr>
                <w:rStyle w:val="ac"/>
                <w:rFonts w:hint="cs"/>
                <w:noProof/>
                <w:rtl/>
              </w:rPr>
              <w:t>ی</w:t>
            </w:r>
            <w:r w:rsidR="00D10497" w:rsidRPr="00BB67FB">
              <w:rPr>
                <w:rStyle w:val="ac"/>
                <w:noProof/>
                <w:rtl/>
              </w:rPr>
              <w:t xml:space="preserve"> 2</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Toc536499454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1</w:t>
            </w:r>
            <w:r w:rsidR="00D10497">
              <w:rPr>
                <w:noProof/>
                <w:webHidden/>
                <w:rtl/>
              </w:rPr>
              <w:fldChar w:fldCharType="end"/>
            </w:r>
          </w:hyperlink>
        </w:p>
        <w:p w:rsidR="00D10497" w:rsidRDefault="00206D0A" w:rsidP="00D10497">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499455" w:history="1">
            <w:r w:rsidR="00D10497" w:rsidRPr="00BB67FB">
              <w:rPr>
                <w:rStyle w:val="ac"/>
                <w:noProof/>
                <w:rtl/>
              </w:rPr>
              <w:t>تخلص</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Toc536499455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2</w:t>
            </w:r>
            <w:r w:rsidR="00D10497">
              <w:rPr>
                <w:noProof/>
                <w:webHidden/>
                <w:rtl/>
              </w:rPr>
              <w:fldChar w:fldCharType="end"/>
            </w:r>
          </w:hyperlink>
        </w:p>
        <w:p w:rsidR="00D10497" w:rsidRDefault="00206D0A" w:rsidP="00D10497">
          <w:pPr>
            <w:pStyle w:val="22"/>
            <w:tabs>
              <w:tab w:val="right" w:leader="dot" w:pos="10194"/>
            </w:tabs>
            <w:rPr>
              <w:rFonts w:asciiTheme="minorHAnsi" w:eastAsiaTheme="minorEastAsia" w:hAnsiTheme="minorHAnsi" w:cstheme="minorBidi"/>
              <w:bCs w:val="0"/>
              <w:noProof/>
              <w:color w:val="auto"/>
              <w:szCs w:val="22"/>
              <w:rtl/>
              <w:lang w:bidi="ar-SA"/>
            </w:rPr>
          </w:pPr>
          <w:hyperlink w:anchor="_Toc536499456" w:history="1">
            <w:r w:rsidR="00D10497" w:rsidRPr="00BB67FB">
              <w:rPr>
                <w:rStyle w:val="ac"/>
                <w:noProof/>
                <w:rtl/>
              </w:rPr>
              <w:t>مناقشه دلال</w:t>
            </w:r>
            <w:r w:rsidR="00D10497" w:rsidRPr="00BB67FB">
              <w:rPr>
                <w:rStyle w:val="ac"/>
                <w:rFonts w:hint="cs"/>
                <w:noProof/>
                <w:rtl/>
              </w:rPr>
              <w:t>ی</w:t>
            </w:r>
            <w:r w:rsidR="00D10497" w:rsidRPr="00BB67FB">
              <w:rPr>
                <w:rStyle w:val="ac"/>
                <w:noProof/>
                <w:rtl/>
              </w:rPr>
              <w:t xml:space="preserve"> 3</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Toc536499456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2</w:t>
            </w:r>
            <w:r w:rsidR="00D10497">
              <w:rPr>
                <w:noProof/>
                <w:webHidden/>
                <w:rtl/>
              </w:rPr>
              <w:fldChar w:fldCharType="end"/>
            </w:r>
          </w:hyperlink>
        </w:p>
        <w:p w:rsidR="00D10497" w:rsidRDefault="00206D0A" w:rsidP="00D10497">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499457" w:history="1">
            <w:r w:rsidR="00D10497" w:rsidRPr="00BB67FB">
              <w:rPr>
                <w:rStyle w:val="ac"/>
                <w:noProof/>
                <w:rtl/>
              </w:rPr>
              <w:t>تخلص</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Toc536499457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2</w:t>
            </w:r>
            <w:r w:rsidR="00D10497">
              <w:rPr>
                <w:noProof/>
                <w:webHidden/>
                <w:rtl/>
              </w:rPr>
              <w:fldChar w:fldCharType="end"/>
            </w:r>
          </w:hyperlink>
        </w:p>
        <w:p w:rsidR="00D10497" w:rsidRDefault="00206D0A" w:rsidP="00D10497">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499458" w:history="1">
            <w:r w:rsidR="00D10497" w:rsidRPr="00BB67FB">
              <w:rPr>
                <w:rStyle w:val="ac"/>
                <w:noProof/>
                <w:rtl/>
              </w:rPr>
              <w:t>تخلص 2</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Toc536499458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3</w:t>
            </w:r>
            <w:r w:rsidR="00D10497">
              <w:rPr>
                <w:noProof/>
                <w:webHidden/>
                <w:rtl/>
              </w:rPr>
              <w:fldChar w:fldCharType="end"/>
            </w:r>
          </w:hyperlink>
        </w:p>
        <w:p w:rsidR="00D10497" w:rsidRDefault="00206D0A" w:rsidP="00D10497">
          <w:pPr>
            <w:pStyle w:val="11"/>
            <w:rPr>
              <w:rFonts w:asciiTheme="minorHAnsi" w:eastAsiaTheme="minorEastAsia" w:hAnsiTheme="minorHAnsi" w:cstheme="minorBidi"/>
              <w:noProof/>
              <w:color w:val="auto"/>
              <w:szCs w:val="22"/>
              <w:rtl/>
              <w:lang w:bidi="ar-SA"/>
            </w:rPr>
          </w:pPr>
          <w:hyperlink w:anchor="_Toc536499459" w:history="1">
            <w:r w:rsidR="00D10497" w:rsidRPr="00BB67FB">
              <w:rPr>
                <w:rStyle w:val="ac"/>
                <w:noProof/>
                <w:rtl/>
              </w:rPr>
              <w:t>روا</w:t>
            </w:r>
            <w:r w:rsidR="00D10497" w:rsidRPr="00BB67FB">
              <w:rPr>
                <w:rStyle w:val="ac"/>
                <w:rFonts w:hint="cs"/>
                <w:noProof/>
                <w:rtl/>
              </w:rPr>
              <w:t>ی</w:t>
            </w:r>
            <w:r w:rsidR="00D10497" w:rsidRPr="00BB67FB">
              <w:rPr>
                <w:rStyle w:val="ac"/>
                <w:rFonts w:hint="eastAsia"/>
                <w:noProof/>
                <w:rtl/>
              </w:rPr>
              <w:t>ت</w:t>
            </w:r>
            <w:r w:rsidR="00D10497" w:rsidRPr="00BB67FB">
              <w:rPr>
                <w:rStyle w:val="ac"/>
                <w:noProof/>
                <w:rtl/>
              </w:rPr>
              <w:t xml:space="preserve"> 2: روا</w:t>
            </w:r>
            <w:r w:rsidR="00D10497" w:rsidRPr="00BB67FB">
              <w:rPr>
                <w:rStyle w:val="ac"/>
                <w:rFonts w:hint="cs"/>
                <w:noProof/>
                <w:rtl/>
              </w:rPr>
              <w:t>ی</w:t>
            </w:r>
            <w:r w:rsidR="00D10497" w:rsidRPr="00BB67FB">
              <w:rPr>
                <w:rStyle w:val="ac"/>
                <w:rFonts w:hint="eastAsia"/>
                <w:noProof/>
                <w:rtl/>
              </w:rPr>
              <w:t>ت</w:t>
            </w:r>
            <w:r w:rsidR="00D10497" w:rsidRPr="00BB67FB">
              <w:rPr>
                <w:rStyle w:val="ac"/>
                <w:noProof/>
                <w:rtl/>
              </w:rPr>
              <w:t xml:space="preserve"> </w:t>
            </w:r>
            <w:r w:rsidR="00D10497" w:rsidRPr="00BB67FB">
              <w:rPr>
                <w:rStyle w:val="ac"/>
                <w:rFonts w:hint="cs"/>
                <w:noProof/>
                <w:rtl/>
              </w:rPr>
              <w:t>ی</w:t>
            </w:r>
            <w:r w:rsidR="00D10497" w:rsidRPr="00BB67FB">
              <w:rPr>
                <w:rStyle w:val="ac"/>
                <w:rFonts w:hint="eastAsia"/>
                <w:noProof/>
                <w:rtl/>
              </w:rPr>
              <w:t>ونس</w:t>
            </w:r>
            <w:r w:rsidR="00D10497" w:rsidRPr="00BB67FB">
              <w:rPr>
                <w:rStyle w:val="ac"/>
                <w:noProof/>
                <w:rtl/>
              </w:rPr>
              <w:t xml:space="preserve"> بن </w:t>
            </w:r>
            <w:r w:rsidR="00D10497" w:rsidRPr="00BB67FB">
              <w:rPr>
                <w:rStyle w:val="ac"/>
                <w:rFonts w:hint="cs"/>
                <w:noProof/>
                <w:rtl/>
              </w:rPr>
              <w:t>ی</w:t>
            </w:r>
            <w:r w:rsidR="00D10497" w:rsidRPr="00BB67FB">
              <w:rPr>
                <w:rStyle w:val="ac"/>
                <w:rFonts w:hint="eastAsia"/>
                <w:noProof/>
                <w:rtl/>
              </w:rPr>
              <w:t>عقوب</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Toc536499459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4</w:t>
            </w:r>
            <w:r w:rsidR="00D10497">
              <w:rPr>
                <w:noProof/>
                <w:webHidden/>
                <w:rtl/>
              </w:rPr>
              <w:fldChar w:fldCharType="end"/>
            </w:r>
          </w:hyperlink>
        </w:p>
        <w:p w:rsidR="00D10497" w:rsidRDefault="00206D0A" w:rsidP="00D10497">
          <w:pPr>
            <w:pStyle w:val="22"/>
            <w:tabs>
              <w:tab w:val="right" w:leader="dot" w:pos="10194"/>
            </w:tabs>
            <w:rPr>
              <w:rFonts w:asciiTheme="minorHAnsi" w:eastAsiaTheme="minorEastAsia" w:hAnsiTheme="minorHAnsi" w:cstheme="minorBidi"/>
              <w:bCs w:val="0"/>
              <w:noProof/>
              <w:color w:val="auto"/>
              <w:szCs w:val="22"/>
              <w:rtl/>
              <w:lang w:bidi="ar-SA"/>
            </w:rPr>
          </w:pPr>
          <w:hyperlink w:anchor="_Toc536499460" w:history="1">
            <w:r w:rsidR="00D10497" w:rsidRPr="00BB67FB">
              <w:rPr>
                <w:rStyle w:val="ac"/>
                <w:noProof/>
                <w:rtl/>
              </w:rPr>
              <w:t>بررس</w:t>
            </w:r>
            <w:r w:rsidR="00D10497" w:rsidRPr="00BB67FB">
              <w:rPr>
                <w:rStyle w:val="ac"/>
                <w:rFonts w:hint="cs"/>
                <w:noProof/>
                <w:rtl/>
              </w:rPr>
              <w:t>ی</w:t>
            </w:r>
            <w:r w:rsidR="00D10497" w:rsidRPr="00BB67FB">
              <w:rPr>
                <w:rStyle w:val="ac"/>
                <w:noProof/>
                <w:rtl/>
              </w:rPr>
              <w:t xml:space="preserve"> سند</w:t>
            </w:r>
            <w:r w:rsidR="00D10497" w:rsidRPr="00BB67FB">
              <w:rPr>
                <w:rStyle w:val="ac"/>
                <w:rFonts w:hint="cs"/>
                <w:noProof/>
                <w:rtl/>
              </w:rPr>
              <w:t>ی</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Toc536499460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4</w:t>
            </w:r>
            <w:r w:rsidR="00D10497">
              <w:rPr>
                <w:noProof/>
                <w:webHidden/>
                <w:rtl/>
              </w:rPr>
              <w:fldChar w:fldCharType="end"/>
            </w:r>
          </w:hyperlink>
        </w:p>
        <w:p w:rsidR="00D10497" w:rsidRDefault="00206D0A" w:rsidP="00D10497">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6499461" w:history="1">
            <w:r w:rsidR="00D10497" w:rsidRPr="00BB67FB">
              <w:rPr>
                <w:rStyle w:val="ac"/>
                <w:noProof/>
                <w:rtl/>
              </w:rPr>
              <w:t>تخلص از اشکال سند</w:t>
            </w:r>
            <w:r w:rsidR="00D10497" w:rsidRPr="00BB67FB">
              <w:rPr>
                <w:rStyle w:val="ac"/>
                <w:rFonts w:hint="cs"/>
                <w:noProof/>
                <w:rtl/>
              </w:rPr>
              <w:t>ی</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Toc536499461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4</w:t>
            </w:r>
            <w:r w:rsidR="00D10497">
              <w:rPr>
                <w:noProof/>
                <w:webHidden/>
                <w:rtl/>
              </w:rPr>
              <w:fldChar w:fldCharType="end"/>
            </w:r>
          </w:hyperlink>
        </w:p>
        <w:p w:rsidR="00D10497" w:rsidRDefault="00206D0A" w:rsidP="00D10497">
          <w:pPr>
            <w:pStyle w:val="11"/>
            <w:rPr>
              <w:rFonts w:asciiTheme="minorHAnsi" w:eastAsiaTheme="minorEastAsia" w:hAnsiTheme="minorHAnsi" w:cstheme="minorBidi"/>
              <w:noProof/>
              <w:color w:val="auto"/>
              <w:szCs w:val="22"/>
              <w:rtl/>
              <w:lang w:bidi="ar-SA"/>
            </w:rPr>
          </w:pPr>
          <w:hyperlink w:anchor="_Toc536499462" w:history="1">
            <w:r w:rsidR="00D10497" w:rsidRPr="00BB67FB">
              <w:rPr>
                <w:rStyle w:val="ac"/>
                <w:noProof/>
                <w:rtl/>
              </w:rPr>
              <w:t>خلاصه جلسه</w:t>
            </w:r>
            <w:r w:rsidR="00D10497">
              <w:rPr>
                <w:noProof/>
                <w:webHidden/>
                <w:rtl/>
              </w:rPr>
              <w:tab/>
            </w:r>
            <w:r w:rsidR="00D10497">
              <w:rPr>
                <w:noProof/>
                <w:webHidden/>
                <w:rtl/>
              </w:rPr>
              <w:fldChar w:fldCharType="begin"/>
            </w:r>
            <w:r w:rsidR="00D10497">
              <w:rPr>
                <w:noProof/>
                <w:webHidden/>
                <w:rtl/>
              </w:rPr>
              <w:instrText xml:space="preserve"> </w:instrText>
            </w:r>
            <w:r w:rsidR="00D10497">
              <w:rPr>
                <w:noProof/>
                <w:webHidden/>
              </w:rPr>
              <w:instrText>PAGEREF</w:instrText>
            </w:r>
            <w:r w:rsidR="00D10497">
              <w:rPr>
                <w:noProof/>
                <w:webHidden/>
                <w:rtl/>
              </w:rPr>
              <w:instrText xml:space="preserve"> _</w:instrText>
            </w:r>
            <w:r w:rsidR="00D10497">
              <w:rPr>
                <w:noProof/>
                <w:webHidden/>
              </w:rPr>
              <w:instrText>Toc536499462 \h</w:instrText>
            </w:r>
            <w:r w:rsidR="00D10497">
              <w:rPr>
                <w:noProof/>
                <w:webHidden/>
                <w:rtl/>
              </w:rPr>
              <w:instrText xml:space="preserve"> </w:instrText>
            </w:r>
            <w:r w:rsidR="00D10497">
              <w:rPr>
                <w:noProof/>
                <w:webHidden/>
                <w:rtl/>
              </w:rPr>
            </w:r>
            <w:r w:rsidR="00D10497">
              <w:rPr>
                <w:noProof/>
                <w:webHidden/>
                <w:rtl/>
              </w:rPr>
              <w:fldChar w:fldCharType="separate"/>
            </w:r>
            <w:r w:rsidR="00D10497">
              <w:rPr>
                <w:noProof/>
                <w:webHidden/>
                <w:rtl/>
              </w:rPr>
              <w:t>6</w:t>
            </w:r>
            <w:r w:rsidR="00D10497">
              <w:rPr>
                <w:noProof/>
                <w:webHidden/>
                <w:rtl/>
              </w:rPr>
              <w:fldChar w:fldCharType="end"/>
            </w:r>
          </w:hyperlink>
        </w:p>
        <w:p w:rsidR="00D10497" w:rsidRDefault="00D10497" w:rsidP="00D10497">
          <w:r>
            <w:rPr>
              <w:b/>
              <w:bCs/>
              <w:noProof/>
            </w:rPr>
            <w:fldChar w:fldCharType="end"/>
          </w:r>
        </w:p>
      </w:sdtContent>
    </w:sdt>
    <w:p w:rsidR="00D10497" w:rsidRPr="00C91EB6" w:rsidRDefault="00D10497" w:rsidP="00D10497">
      <w:pPr>
        <w:jc w:val="both"/>
      </w:pPr>
    </w:p>
    <w:p w:rsidR="00D10497" w:rsidRPr="00A6366F" w:rsidRDefault="00D10497" w:rsidP="00D10497">
      <w:pPr>
        <w:jc w:val="both"/>
      </w:pPr>
      <w:r w:rsidRPr="009C66D5">
        <w:rPr>
          <w:rStyle w:val="af0"/>
          <w:rFonts w:hint="cs"/>
          <w:b/>
          <w:bCs w:val="0"/>
          <w:rtl/>
        </w:rPr>
        <w:t>موضوع</w:t>
      </w:r>
      <w:r w:rsidRPr="009C66D5">
        <w:rPr>
          <w:rStyle w:val="af0"/>
          <w:rFonts w:hint="cs"/>
          <w:rtl/>
        </w:rPr>
        <w:t>:</w:t>
      </w:r>
      <w:r w:rsidRPr="00A6366F">
        <w:rPr>
          <w:rFonts w:hint="cs"/>
          <w:rtl/>
        </w:rPr>
        <w:t xml:space="preserve"> </w:t>
      </w:r>
      <w:bookmarkStart w:id="0" w:name="BokSabj2_d"/>
      <w:bookmarkEnd w:id="0"/>
      <w:r w:rsidRPr="004A2DBD">
        <w:rPr>
          <w:rtl/>
        </w:rPr>
        <w:t>دل</w:t>
      </w:r>
      <w:r w:rsidRPr="004A2DBD">
        <w:rPr>
          <w:rFonts w:hint="cs"/>
          <w:rtl/>
        </w:rPr>
        <w:t>ی</w:t>
      </w:r>
      <w:r w:rsidRPr="004A2DBD">
        <w:rPr>
          <w:rFonts w:hint="eastAsia"/>
          <w:rtl/>
        </w:rPr>
        <w:t>ل،</w:t>
      </w:r>
      <w:r w:rsidRPr="004A2DBD">
        <w:rPr>
          <w:rtl/>
        </w:rPr>
        <w:t xml:space="preserve"> روا</w:t>
      </w:r>
      <w:r w:rsidRPr="004A2DBD">
        <w:rPr>
          <w:rFonts w:hint="cs"/>
          <w:rtl/>
        </w:rPr>
        <w:t>ی</w:t>
      </w:r>
      <w:r w:rsidRPr="004A2DBD">
        <w:rPr>
          <w:rFonts w:hint="eastAsia"/>
          <w:rtl/>
        </w:rPr>
        <w:t>ت</w:t>
      </w:r>
      <w:r w:rsidRPr="004A2DBD">
        <w:rPr>
          <w:rtl/>
        </w:rPr>
        <w:t xml:space="preserve"> حفص و </w:t>
      </w:r>
      <w:r w:rsidRPr="004A2DBD">
        <w:rPr>
          <w:rFonts w:hint="cs"/>
          <w:rtl/>
        </w:rPr>
        <w:t>ی</w:t>
      </w:r>
      <w:r w:rsidRPr="004A2DBD">
        <w:rPr>
          <w:rFonts w:hint="eastAsia"/>
          <w:rtl/>
        </w:rPr>
        <w:t>ونس</w:t>
      </w:r>
      <w:r w:rsidRPr="004A2DBD">
        <w:rPr>
          <w:rFonts w:hint="cs"/>
          <w:rtl/>
        </w:rPr>
        <w:t xml:space="preserve"> </w:t>
      </w:r>
      <w:r w:rsidRPr="00A6366F">
        <w:rPr>
          <w:rFonts w:hint="cs"/>
          <w:rtl/>
        </w:rPr>
        <w:t>/</w:t>
      </w:r>
      <w:bookmarkStart w:id="1" w:name="BokSabj_d"/>
      <w:bookmarkEnd w:id="1"/>
      <w:r>
        <w:rPr>
          <w:rtl/>
        </w:rPr>
        <w:t xml:space="preserve">قاعده </w:t>
      </w:r>
      <w:r>
        <w:rPr>
          <w:rFonts w:hint="cs"/>
          <w:rtl/>
        </w:rPr>
        <w:t>ی</w:t>
      </w:r>
      <w:r>
        <w:rPr>
          <w:rFonts w:hint="eastAsia"/>
          <w:rtl/>
        </w:rPr>
        <w:t>د</w:t>
      </w:r>
      <w:r w:rsidRPr="00A6366F">
        <w:rPr>
          <w:rFonts w:hint="cs"/>
          <w:rtl/>
        </w:rPr>
        <w:t xml:space="preserve"> /</w:t>
      </w:r>
      <w:bookmarkStart w:id="2" w:name="Bokkolli"/>
      <w:bookmarkEnd w:id="2"/>
      <w:r>
        <w:rPr>
          <w:rtl/>
        </w:rPr>
        <w:t>تنب</w:t>
      </w:r>
      <w:r>
        <w:rPr>
          <w:rFonts w:hint="cs"/>
          <w:rtl/>
        </w:rPr>
        <w:t>ی</w:t>
      </w:r>
      <w:r>
        <w:rPr>
          <w:rFonts w:hint="eastAsia"/>
          <w:rtl/>
        </w:rPr>
        <w:t>هات</w:t>
      </w:r>
      <w:r>
        <w:rPr>
          <w:rtl/>
        </w:rPr>
        <w:t xml:space="preserve"> استصحاب، تعارض با سا</w:t>
      </w:r>
      <w:r>
        <w:rPr>
          <w:rFonts w:hint="cs"/>
          <w:rtl/>
        </w:rPr>
        <w:t>ی</w:t>
      </w:r>
      <w:r>
        <w:rPr>
          <w:rFonts w:hint="eastAsia"/>
          <w:rtl/>
        </w:rPr>
        <w:t>ر</w:t>
      </w:r>
      <w:r>
        <w:rPr>
          <w:rtl/>
        </w:rPr>
        <w:t xml:space="preserve"> اصول</w:t>
      </w:r>
      <w:r w:rsidRPr="00A6366F">
        <w:rPr>
          <w:rFonts w:hint="cs"/>
          <w:rtl/>
        </w:rPr>
        <w:t xml:space="preserve"> </w:t>
      </w:r>
    </w:p>
    <w:p w:rsidR="00D10497" w:rsidRPr="009C66D5" w:rsidRDefault="00D10497" w:rsidP="00D10497">
      <w:pPr>
        <w:jc w:val="both"/>
        <w:rPr>
          <w:rStyle w:val="af0"/>
          <w:b/>
          <w:bCs w:val="0"/>
          <w:rtl/>
        </w:rPr>
      </w:pPr>
      <w:r w:rsidRPr="009C66D5">
        <w:rPr>
          <w:rStyle w:val="af0"/>
          <w:rFonts w:hint="cs"/>
          <w:b/>
          <w:bCs w:val="0"/>
          <w:rtl/>
        </w:rPr>
        <w:t>خلاصه مباحث گذشته:</w:t>
      </w:r>
    </w:p>
    <w:p w:rsidR="00D10497" w:rsidRDefault="00D10497" w:rsidP="00D10497">
      <w:pPr>
        <w:pBdr>
          <w:bottom w:val="double" w:sz="6" w:space="1" w:color="auto"/>
        </w:pBdr>
        <w:jc w:val="both"/>
        <w:rPr>
          <w:rtl/>
        </w:rPr>
      </w:pPr>
      <w:r>
        <w:rPr>
          <w:rFonts w:hint="cs"/>
          <w:rtl/>
        </w:rPr>
        <w:t>اولین روایتی که برای قاعده ید مورد استدلال قرار گرفت، روایت حفص بن غیاث بود. در قسمت دلالت حدیث عرض کردیم که مناقشاتی را به آن وارد نموده اند. مناقشه اول از صاحب منتقی الاصول بود که پاسخ دادیم. مناقشه دوم از بعض الاعلام در القواعد الفقهیه است.</w:t>
      </w:r>
      <w:r>
        <w:rPr>
          <w:rStyle w:val="ab"/>
          <w:rtl/>
        </w:rPr>
        <w:footnoteReference w:id="1"/>
      </w:r>
    </w:p>
    <w:p w:rsidR="00D10497" w:rsidRPr="003A6148" w:rsidRDefault="00D10497" w:rsidP="00D10497">
      <w:pPr>
        <w:pBdr>
          <w:bottom w:val="double" w:sz="6" w:space="1" w:color="auto"/>
        </w:pBdr>
        <w:jc w:val="both"/>
      </w:pPr>
    </w:p>
    <w:p w:rsidR="00D10497" w:rsidRDefault="00D10497" w:rsidP="00D10497">
      <w:pPr>
        <w:jc w:val="both"/>
      </w:pPr>
    </w:p>
    <w:p w:rsidR="00D10497" w:rsidRDefault="00D10497" w:rsidP="00D10497">
      <w:pPr>
        <w:pStyle w:val="1"/>
        <w:jc w:val="both"/>
        <w:rPr>
          <w:rtl/>
        </w:rPr>
      </w:pPr>
      <w:bookmarkStart w:id="3" w:name="_Toc536466637"/>
      <w:bookmarkStart w:id="4" w:name="_Toc536499453"/>
      <w:r>
        <w:rPr>
          <w:rFonts w:hint="cs"/>
          <w:rtl/>
        </w:rPr>
        <w:t>ادامه بررسی روایت حفص بن غیاث</w:t>
      </w:r>
      <w:bookmarkEnd w:id="3"/>
      <w:bookmarkEnd w:id="4"/>
    </w:p>
    <w:p w:rsidR="00D10497" w:rsidRDefault="00D10497" w:rsidP="00D10497">
      <w:pPr>
        <w:pStyle w:val="20"/>
        <w:jc w:val="both"/>
        <w:rPr>
          <w:rtl/>
        </w:rPr>
      </w:pPr>
      <w:bookmarkStart w:id="5" w:name="_Toc536466638"/>
      <w:bookmarkStart w:id="6" w:name="_Toc536499454"/>
      <w:r>
        <w:rPr>
          <w:rFonts w:hint="cs"/>
          <w:rtl/>
        </w:rPr>
        <w:t>مناقشه دلالی 2</w:t>
      </w:r>
      <w:bookmarkEnd w:id="5"/>
      <w:bookmarkEnd w:id="6"/>
    </w:p>
    <w:p w:rsidR="00D10497" w:rsidRPr="001A27D7" w:rsidRDefault="00D10497" w:rsidP="00D10497">
      <w:pPr>
        <w:jc w:val="both"/>
        <w:rPr>
          <w:rtl/>
        </w:rPr>
      </w:pPr>
      <w:r>
        <w:rPr>
          <w:rFonts w:hint="cs"/>
          <w:rtl/>
        </w:rPr>
        <w:t>از این روایت صرفا قدر متیقن را می توان استفاده کرد و آن جایی است که ید مؤکّد وجود داشته باشد و (به عبارت دیگر) استیلاء کامل پیدا کند، مثلا کسی که مالک خانه شده و در آن تصرّف نموده(تخریب، ساخت و ساز، اجاره)، استیلاء کامل دارد.</w:t>
      </w:r>
    </w:p>
    <w:p w:rsidR="00D10497" w:rsidRPr="00BB61C0" w:rsidRDefault="00D10497" w:rsidP="00D10497">
      <w:pPr>
        <w:jc w:val="both"/>
        <w:rPr>
          <w:b/>
          <w:bCs/>
          <w:rtl/>
        </w:rPr>
      </w:pPr>
      <w:r w:rsidRPr="00BB61C0">
        <w:rPr>
          <w:rFonts w:hint="cs"/>
          <w:b/>
          <w:bCs/>
          <w:rtl/>
        </w:rPr>
        <w:lastRenderedPageBreak/>
        <w:t>دلیل اخذ به قدر متیقن</w:t>
      </w:r>
    </w:p>
    <w:p w:rsidR="00D10497" w:rsidRDefault="00D10497" w:rsidP="00D10497">
      <w:pPr>
        <w:jc w:val="both"/>
        <w:rPr>
          <w:rtl/>
        </w:rPr>
      </w:pPr>
      <w:r>
        <w:rPr>
          <w:rFonts w:hint="cs"/>
          <w:rtl/>
        </w:rPr>
        <w:t>متن حدیث در قسمت سؤال سائل به دو صورت نقل شده است، در یک نقل استیلاء کامل است و در نقل دیگر مطلق استیلاء را می فهماند و به دلیل این که یکی از این دو نقل بر دیگری ترجیح ندارد، صرفا می توانیم به قدر متیقن اخذ کنیم.</w:t>
      </w:r>
    </w:p>
    <w:p w:rsidR="00D10497" w:rsidRDefault="00D10497" w:rsidP="00D10497">
      <w:pPr>
        <w:jc w:val="both"/>
        <w:rPr>
          <w:rtl/>
        </w:rPr>
      </w:pPr>
      <w:r>
        <w:rPr>
          <w:rFonts w:hint="cs"/>
          <w:rtl/>
        </w:rPr>
        <w:t>توضیح: این روایت در من لا یحضره الفقیه</w:t>
      </w:r>
      <w:r>
        <w:rPr>
          <w:rStyle w:val="ab"/>
          <w:rtl/>
        </w:rPr>
        <w:footnoteReference w:id="2"/>
      </w:r>
      <w:r>
        <w:rPr>
          <w:rFonts w:hint="cs"/>
          <w:rtl/>
        </w:rPr>
        <w:t xml:space="preserve"> و کافی</w:t>
      </w:r>
      <w:r>
        <w:rPr>
          <w:rStyle w:val="ab"/>
          <w:rtl/>
        </w:rPr>
        <w:footnoteReference w:id="3"/>
      </w:r>
      <w:r>
        <w:rPr>
          <w:rFonts w:hint="cs"/>
          <w:rtl/>
        </w:rPr>
        <w:t xml:space="preserve"> این گونه نقل شده است: «</w:t>
      </w:r>
      <w:r w:rsidRPr="00BB61C0">
        <w:rPr>
          <w:rFonts w:hint="cs"/>
          <w:color w:val="008000"/>
          <w:rtl/>
        </w:rPr>
        <w:t xml:space="preserve">فی </w:t>
      </w:r>
      <w:r w:rsidRPr="00BB61C0">
        <w:rPr>
          <w:rFonts w:hint="cs"/>
          <w:color w:val="008000"/>
          <w:u w:val="single"/>
          <w:rtl/>
        </w:rPr>
        <w:t>یدی</w:t>
      </w:r>
      <w:r w:rsidRPr="00BB61C0">
        <w:rPr>
          <w:rFonts w:hint="cs"/>
          <w:color w:val="008000"/>
          <w:rtl/>
        </w:rPr>
        <w:t xml:space="preserve"> رجل</w:t>
      </w:r>
      <w:r>
        <w:rPr>
          <w:rFonts w:hint="cs"/>
          <w:rtl/>
        </w:rPr>
        <w:t>»، اما در تهذیب</w:t>
      </w:r>
      <w:r>
        <w:rPr>
          <w:rStyle w:val="ab"/>
          <w:rtl/>
        </w:rPr>
        <w:footnoteReference w:id="4"/>
      </w:r>
      <w:r>
        <w:rPr>
          <w:rFonts w:hint="cs"/>
          <w:rtl/>
        </w:rPr>
        <w:t xml:space="preserve"> «</w:t>
      </w:r>
      <w:r w:rsidRPr="00BB61C0">
        <w:rPr>
          <w:rFonts w:hint="cs"/>
          <w:color w:val="008000"/>
          <w:rtl/>
        </w:rPr>
        <w:t xml:space="preserve">فی </w:t>
      </w:r>
      <w:r w:rsidRPr="00BB61C0">
        <w:rPr>
          <w:rFonts w:hint="cs"/>
          <w:color w:val="008000"/>
          <w:u w:val="single"/>
          <w:rtl/>
        </w:rPr>
        <w:t>ید</w:t>
      </w:r>
      <w:r w:rsidRPr="00BB61C0">
        <w:rPr>
          <w:rFonts w:hint="cs"/>
          <w:color w:val="008000"/>
          <w:rtl/>
        </w:rPr>
        <w:t xml:space="preserve"> رجل</w:t>
      </w:r>
      <w:r>
        <w:rPr>
          <w:rFonts w:hint="cs"/>
          <w:rtl/>
        </w:rPr>
        <w:t xml:space="preserve">» آمده است. مفاد «ید» تثنیه و مفرد مختلف است، کما این که اهل لغت و مفسّرین مثل صاحب مجمع البیان و رازی به آن اشاره کردند و فرمودند که وقتی </w:t>
      </w:r>
      <w:r w:rsidRPr="00CC7A64">
        <w:rPr>
          <w:rFonts w:hint="cs"/>
          <w:rtl/>
        </w:rPr>
        <w:t xml:space="preserve">به صیغه مثنّی باشد </w:t>
      </w:r>
      <w:r>
        <w:rPr>
          <w:rFonts w:hint="cs"/>
          <w:rtl/>
        </w:rPr>
        <w:t xml:space="preserve">دلالت بر </w:t>
      </w:r>
      <w:r w:rsidRPr="00CC7A64">
        <w:rPr>
          <w:rFonts w:hint="cs"/>
          <w:u w:val="single"/>
          <w:rtl/>
        </w:rPr>
        <w:t>تأکید و مبالغه</w:t>
      </w:r>
      <w:r>
        <w:rPr>
          <w:rFonts w:hint="cs"/>
          <w:rtl/>
        </w:rPr>
        <w:t xml:space="preserve"> دارد. </w:t>
      </w:r>
    </w:p>
    <w:p w:rsidR="00D10497" w:rsidRDefault="00D10497" w:rsidP="00D10497">
      <w:pPr>
        <w:jc w:val="both"/>
      </w:pPr>
      <w:r>
        <w:rPr>
          <w:rFonts w:hint="cs"/>
          <w:rtl/>
        </w:rPr>
        <w:t>در نتیجه بر اساس نسخه کافی و فقیه این روایت نظر به شخصی دارد که دارای کمال استیلاء بر مال است. اما مستفاد از نسخه تهذیب، مطلق استیلاء است.</w:t>
      </w:r>
    </w:p>
    <w:p w:rsidR="00D10497" w:rsidRDefault="00D10497" w:rsidP="00D10497">
      <w:pPr>
        <w:jc w:val="both"/>
        <w:rPr>
          <w:rtl/>
        </w:rPr>
      </w:pPr>
      <w:r>
        <w:rPr>
          <w:rFonts w:hint="cs"/>
          <w:rtl/>
        </w:rPr>
        <w:t>حال اگر نقل کافی را ترجیح دهیم ( به خاطر اضبط بودن مرحوم کلینی نسبت به مرحوم شیخ) یا ترجیح ندهیم و تعارض بین دو نقل رخ دهد، باید استیلاء کامل را شرط بدانیم و به بیش از قدر متیقن نمی توانیم اخذ کنیم.</w:t>
      </w:r>
    </w:p>
    <w:p w:rsidR="00D10497" w:rsidRDefault="00D10497" w:rsidP="00D10497">
      <w:pPr>
        <w:pStyle w:val="30"/>
        <w:jc w:val="both"/>
        <w:rPr>
          <w:rtl/>
        </w:rPr>
      </w:pPr>
      <w:bookmarkStart w:id="7" w:name="_Toc536466639"/>
      <w:bookmarkStart w:id="8" w:name="_Toc536499455"/>
      <w:r>
        <w:rPr>
          <w:rFonts w:hint="cs"/>
          <w:rtl/>
        </w:rPr>
        <w:t>تخلص</w:t>
      </w:r>
      <w:bookmarkEnd w:id="7"/>
      <w:bookmarkEnd w:id="8"/>
      <w:r>
        <w:rPr>
          <w:rFonts w:hint="cs"/>
          <w:rtl/>
        </w:rPr>
        <w:t xml:space="preserve"> </w:t>
      </w:r>
    </w:p>
    <w:p w:rsidR="00D10497" w:rsidRDefault="00D10497" w:rsidP="00A66DF9">
      <w:pPr>
        <w:jc w:val="both"/>
        <w:rPr>
          <w:rtl/>
        </w:rPr>
      </w:pPr>
      <w:r>
        <w:rPr>
          <w:rFonts w:hint="cs"/>
          <w:rtl/>
        </w:rPr>
        <w:t>این را ما قبول داریم که استعمال ید به صیغه تثنیه</w:t>
      </w:r>
      <w:r w:rsidR="00490A3A">
        <w:rPr>
          <w:rFonts w:hint="cs"/>
          <w:rtl/>
        </w:rPr>
        <w:t xml:space="preserve"> </w:t>
      </w:r>
      <w:proofErr w:type="spellStart"/>
      <w:r w:rsidR="00490A3A">
        <w:rPr>
          <w:rFonts w:hint="cs"/>
          <w:rtl/>
        </w:rPr>
        <w:t>درکتاب</w:t>
      </w:r>
      <w:proofErr w:type="spellEnd"/>
      <w:r w:rsidR="00490A3A">
        <w:rPr>
          <w:rFonts w:hint="cs"/>
          <w:rtl/>
        </w:rPr>
        <w:t xml:space="preserve"> </w:t>
      </w:r>
      <w:proofErr w:type="spellStart"/>
      <w:r w:rsidR="00490A3A">
        <w:rPr>
          <w:rFonts w:hint="cs"/>
          <w:rtl/>
        </w:rPr>
        <w:t>مجيد</w:t>
      </w:r>
      <w:proofErr w:type="spellEnd"/>
      <w:r w:rsidR="00490A3A">
        <w:rPr>
          <w:rFonts w:hint="cs"/>
          <w:rtl/>
        </w:rPr>
        <w:t xml:space="preserve"> </w:t>
      </w:r>
      <w:proofErr w:type="spellStart"/>
      <w:r w:rsidR="00A66DF9">
        <w:rPr>
          <w:rFonts w:hint="cs"/>
          <w:rtl/>
        </w:rPr>
        <w:t>ودرعباراتي</w:t>
      </w:r>
      <w:proofErr w:type="spellEnd"/>
      <w:r w:rsidR="00A66DF9">
        <w:rPr>
          <w:rFonts w:hint="cs"/>
          <w:rtl/>
        </w:rPr>
        <w:t xml:space="preserve"> که نکات ادبی درآن </w:t>
      </w:r>
      <w:proofErr w:type="spellStart"/>
      <w:r w:rsidR="00A66DF9">
        <w:rPr>
          <w:rFonts w:hint="cs"/>
          <w:rtl/>
        </w:rPr>
        <w:t>رعايت</w:t>
      </w:r>
      <w:proofErr w:type="spellEnd"/>
      <w:r w:rsidR="00A66DF9">
        <w:rPr>
          <w:rFonts w:hint="cs"/>
          <w:rtl/>
        </w:rPr>
        <w:t xml:space="preserve"> می شود به</w:t>
      </w:r>
      <w:r>
        <w:rPr>
          <w:rFonts w:hint="cs"/>
          <w:rtl/>
        </w:rPr>
        <w:t xml:space="preserve"> معنای استیلاء کامل است و دلالت </w:t>
      </w:r>
      <w:proofErr w:type="spellStart"/>
      <w:r>
        <w:rPr>
          <w:rFonts w:hint="cs"/>
          <w:rtl/>
        </w:rPr>
        <w:t>بر</w:t>
      </w:r>
      <w:r w:rsidR="00A66DF9">
        <w:rPr>
          <w:rFonts w:hint="cs"/>
          <w:rtl/>
        </w:rPr>
        <w:t>مبالغه</w:t>
      </w:r>
      <w:proofErr w:type="spellEnd"/>
      <w:r w:rsidR="00A66DF9">
        <w:rPr>
          <w:rFonts w:hint="cs"/>
          <w:rtl/>
        </w:rPr>
        <w:t xml:space="preserve"> </w:t>
      </w:r>
      <w:proofErr w:type="spellStart"/>
      <w:r w:rsidR="00A66DF9">
        <w:rPr>
          <w:rFonts w:hint="cs"/>
          <w:rtl/>
        </w:rPr>
        <w:t>وتشديد</w:t>
      </w:r>
      <w:proofErr w:type="spellEnd"/>
      <w:r w:rsidR="00A66DF9">
        <w:rPr>
          <w:rFonts w:hint="cs"/>
          <w:rtl/>
        </w:rPr>
        <w:t xml:space="preserve"> دارد نه</w:t>
      </w:r>
      <w:r>
        <w:rPr>
          <w:rFonts w:hint="cs"/>
          <w:rtl/>
        </w:rPr>
        <w:t xml:space="preserve"> </w:t>
      </w:r>
      <w:proofErr w:type="spellStart"/>
      <w:r>
        <w:rPr>
          <w:rFonts w:hint="cs"/>
          <w:rtl/>
        </w:rPr>
        <w:t>اثنینیّت</w:t>
      </w:r>
      <w:proofErr w:type="spellEnd"/>
      <w:r>
        <w:rPr>
          <w:rFonts w:hint="cs"/>
          <w:rtl/>
        </w:rPr>
        <w:t xml:space="preserve"> </w:t>
      </w:r>
      <w:r w:rsidR="00A66DF9">
        <w:rPr>
          <w:rFonts w:hint="cs"/>
          <w:rtl/>
        </w:rPr>
        <w:t xml:space="preserve">، </w:t>
      </w:r>
      <w:r>
        <w:rPr>
          <w:rFonts w:hint="cs"/>
          <w:rtl/>
        </w:rPr>
        <w:t xml:space="preserve">( کما این که گفته شده است که </w:t>
      </w:r>
      <w:r>
        <w:rPr>
          <w:rFonts w:hint="cs"/>
          <w:u w:val="single"/>
          <w:rtl/>
        </w:rPr>
        <w:t>یدین</w:t>
      </w:r>
      <w:r>
        <w:rPr>
          <w:rFonts w:hint="cs"/>
          <w:rtl/>
        </w:rPr>
        <w:t xml:space="preserve"> در قرآن مجید، خصوصا در آیاتی که در قواعد فقهیه به آن استشهاد شده مثل </w:t>
      </w:r>
      <w:r>
        <w:rPr>
          <w:rFonts w:cs="Calibri"/>
          <w:rtl/>
        </w:rPr>
        <w:t>﴿</w:t>
      </w:r>
      <w:r w:rsidRPr="00D0690F">
        <w:rPr>
          <w:rFonts w:hint="cs"/>
          <w:color w:val="008000"/>
          <w:rtl/>
        </w:rPr>
        <w:t>بل یداه مبسوطتان</w:t>
      </w:r>
      <w:r w:rsidRPr="00D0690F">
        <w:rPr>
          <w:rFonts w:cs="Calibri"/>
          <w:color w:val="008000"/>
          <w:rtl/>
        </w:rPr>
        <w:t>﴾</w:t>
      </w:r>
      <w:r>
        <w:rPr>
          <w:rStyle w:val="ab"/>
          <w:rFonts w:cs="Calibri"/>
          <w:color w:val="008000"/>
          <w:rtl/>
        </w:rPr>
        <w:footnoteReference w:id="5"/>
      </w:r>
      <w:r>
        <w:rPr>
          <w:rFonts w:cs="Calibri" w:hint="cs"/>
          <w:color w:val="008000"/>
          <w:rtl/>
        </w:rPr>
        <w:t xml:space="preserve"> </w:t>
      </w:r>
      <w:r w:rsidRPr="005B1DCD">
        <w:rPr>
          <w:rFonts w:hint="cs"/>
          <w:rtl/>
        </w:rPr>
        <w:t>به همین معناست</w:t>
      </w:r>
      <w:r>
        <w:rPr>
          <w:rFonts w:hint="cs"/>
          <w:rtl/>
        </w:rPr>
        <w:t>). اما به حسب استعمالات عرفی فرقی بین</w:t>
      </w:r>
      <w:r w:rsidRPr="005B1DCD">
        <w:rPr>
          <w:rFonts w:hint="cs"/>
          <w:u w:val="single"/>
          <w:rtl/>
        </w:rPr>
        <w:t xml:space="preserve"> ید و یدین</w:t>
      </w:r>
      <w:r>
        <w:rPr>
          <w:rFonts w:hint="cs"/>
          <w:rtl/>
        </w:rPr>
        <w:t xml:space="preserve"> نیست و از هر دو مطلق استیلاء استفاده می شود. لذا فرقی بین دو نسخه در دلالت بر اماریّت مطلق ید بر ملکیت عین، نیست.</w:t>
      </w:r>
    </w:p>
    <w:p w:rsidR="00D10497" w:rsidRDefault="00D10497" w:rsidP="00D10497">
      <w:pPr>
        <w:pStyle w:val="20"/>
        <w:jc w:val="both"/>
        <w:rPr>
          <w:rtl/>
        </w:rPr>
      </w:pPr>
      <w:bookmarkStart w:id="9" w:name="_Toc536466640"/>
      <w:bookmarkStart w:id="10" w:name="_Toc536499456"/>
      <w:r>
        <w:rPr>
          <w:rFonts w:hint="cs"/>
          <w:rtl/>
        </w:rPr>
        <w:t>مناقشه دلالی 3</w:t>
      </w:r>
      <w:bookmarkEnd w:id="9"/>
      <w:bookmarkEnd w:id="10"/>
    </w:p>
    <w:p w:rsidR="00D10497" w:rsidRDefault="00D10497" w:rsidP="00D10497">
      <w:pPr>
        <w:jc w:val="both"/>
        <w:rPr>
          <w:rtl/>
        </w:rPr>
      </w:pPr>
      <w:r>
        <w:rPr>
          <w:rFonts w:hint="cs"/>
          <w:rtl/>
        </w:rPr>
        <w:t xml:space="preserve">اصل سؤال در مورد جواز شهادت دادن بر ملکیت کسی است که مال در دست اوست، که حضرت هم حکم به جواز کردند. لکن این مفاد با ادله ای که در باب شهادات وارد شده است، تنافی دارد. آن ادله دالّ بر این هستند که برای شهادت دادن، لازم </w:t>
      </w:r>
      <w:r>
        <w:rPr>
          <w:rFonts w:hint="cs"/>
          <w:rtl/>
        </w:rPr>
        <w:lastRenderedPageBreak/>
        <w:t>است که علم وجدانی باشد.( در بعضی از روایات آمده است که امام ع در حالی که به کف دست اشاره می کرد فرمود که هر وقت مسئله را این گونه{صاف و روشن} دیدی شهادت بده.) ولی در این جا علم وجدانی نیست و به استناد اماریت ید می خواهد شهادت دهد. لذا نمی توان به مفاد این روایت ملتزم شد.</w:t>
      </w:r>
    </w:p>
    <w:p w:rsidR="00D10497" w:rsidRDefault="00D10497" w:rsidP="00D10497">
      <w:pPr>
        <w:pStyle w:val="30"/>
        <w:jc w:val="both"/>
        <w:rPr>
          <w:rtl/>
        </w:rPr>
      </w:pPr>
      <w:bookmarkStart w:id="11" w:name="_Toc536466641"/>
      <w:bookmarkStart w:id="12" w:name="_Toc536499457"/>
      <w:r>
        <w:rPr>
          <w:rFonts w:hint="cs"/>
          <w:rtl/>
        </w:rPr>
        <w:t>تخلص</w:t>
      </w:r>
      <w:bookmarkEnd w:id="11"/>
      <w:bookmarkEnd w:id="12"/>
    </w:p>
    <w:p w:rsidR="00D10497" w:rsidRDefault="00D10497" w:rsidP="00A66DF9">
      <w:pPr>
        <w:jc w:val="both"/>
        <w:rPr>
          <w:rtl/>
        </w:rPr>
      </w:pPr>
      <w:r>
        <w:rPr>
          <w:rFonts w:hint="cs"/>
          <w:rtl/>
        </w:rPr>
        <w:t xml:space="preserve">این اشکال به گونه ای دیگر در کتاب الشهاده وارد شده است، به این عنوان که آیا برای شهادت، احراز وجدانی لازم است یا این که با </w:t>
      </w:r>
      <w:r w:rsidR="00A66DF9">
        <w:rPr>
          <w:rFonts w:hint="cs"/>
          <w:rtl/>
        </w:rPr>
        <w:t>استناد به</w:t>
      </w:r>
      <w:r>
        <w:rPr>
          <w:rFonts w:hint="cs"/>
          <w:rtl/>
        </w:rPr>
        <w:t xml:space="preserve"> ید هم می توان شهادت دهد. </w:t>
      </w:r>
      <w:r w:rsidRPr="00274525">
        <w:rPr>
          <w:rFonts w:hint="cs"/>
          <w:color w:val="000080"/>
          <w:rtl/>
        </w:rPr>
        <w:t>مرحوم محقق فرموده</w:t>
      </w:r>
      <w:r w:rsidRPr="00274525">
        <w:rPr>
          <w:rStyle w:val="ab"/>
          <w:color w:val="000080"/>
          <w:rtl/>
        </w:rPr>
        <w:footnoteReference w:id="6"/>
      </w:r>
      <w:r w:rsidRPr="00274525">
        <w:rPr>
          <w:rFonts w:hint="cs"/>
          <w:color w:val="000080"/>
          <w:rtl/>
        </w:rPr>
        <w:t xml:space="preserve"> که ید کافی نیست ولی </w:t>
      </w:r>
      <w:r w:rsidRPr="00274525">
        <w:rPr>
          <w:rFonts w:hint="cs"/>
          <w:color w:val="000080"/>
          <w:u w:val="single"/>
          <w:rtl/>
        </w:rPr>
        <w:t>مروی</w:t>
      </w:r>
      <w:r w:rsidRPr="00274525">
        <w:rPr>
          <w:rFonts w:hint="cs"/>
          <w:color w:val="000080"/>
          <w:rtl/>
        </w:rPr>
        <w:t xml:space="preserve"> است که با احراز یدی هم کافی است(اشاره به روایت حفص).</w:t>
      </w:r>
      <w:r>
        <w:rPr>
          <w:rFonts w:hint="cs"/>
          <w:rtl/>
        </w:rPr>
        <w:t xml:space="preserve"> جواب هایی به این مسئله داده شده (مرحوم خوئی در تکلمه و مرحوم تبریزی در شهادات</w:t>
      </w:r>
      <w:r w:rsidRPr="00274525">
        <w:rPr>
          <w:rStyle w:val="ab"/>
          <w:color w:val="000080"/>
          <w:rtl/>
        </w:rPr>
        <w:footnoteReference w:id="7"/>
      </w:r>
      <w:r w:rsidRPr="00274525">
        <w:rPr>
          <w:rFonts w:hint="cs"/>
          <w:color w:val="000080"/>
          <w:rtl/>
        </w:rPr>
        <w:t xml:space="preserve">) که مقصود از این شهادتی که در روایت حفص بن غیاث وارد شده است، شهادت در باب ترافع و مخاصمه و قضا نیست، بلکه </w:t>
      </w:r>
      <w:r w:rsidRPr="00274525">
        <w:rPr>
          <w:rFonts w:hint="cs"/>
          <w:color w:val="000080"/>
          <w:u w:val="single"/>
          <w:rtl/>
        </w:rPr>
        <w:t>إخبار از شیء به نفع صاحب ید</w:t>
      </w:r>
      <w:r w:rsidRPr="00274525">
        <w:rPr>
          <w:rFonts w:hint="cs"/>
          <w:color w:val="000080"/>
          <w:rtl/>
        </w:rPr>
        <w:t xml:space="preserve"> است.</w:t>
      </w:r>
      <w:r>
        <w:rPr>
          <w:rFonts w:hint="cs"/>
          <w:rtl/>
        </w:rPr>
        <w:t xml:space="preserve"> </w:t>
      </w:r>
    </w:p>
    <w:p w:rsidR="00D10497" w:rsidRDefault="00D10497" w:rsidP="00A66DF9">
      <w:pPr>
        <w:jc w:val="both"/>
        <w:rPr>
          <w:rtl/>
        </w:rPr>
      </w:pPr>
      <w:r>
        <w:rPr>
          <w:rFonts w:hint="cs"/>
          <w:rtl/>
        </w:rPr>
        <w:t>شواهدی را در آن جا ذکر کردند. مثلا این که ذیل روایت حفص چنین آمده است «</w:t>
      </w:r>
      <w:r w:rsidRPr="00CE284F">
        <w:rPr>
          <w:rFonts w:hint="cs"/>
          <w:color w:val="008000"/>
          <w:rtl/>
        </w:rPr>
        <w:t>لولا ذلک لم یقم للمسلمین سوق</w:t>
      </w:r>
      <w:r>
        <w:rPr>
          <w:rFonts w:hint="cs"/>
          <w:rtl/>
        </w:rPr>
        <w:t xml:space="preserve">»، این نشان می دهد که در این روایت، معاملات بین مردم مدّ نظر است و می فرماید که مالی که در دست دیگری است را </w:t>
      </w:r>
      <w:proofErr w:type="spellStart"/>
      <w:r>
        <w:rPr>
          <w:rFonts w:hint="cs"/>
          <w:rtl/>
        </w:rPr>
        <w:t>قولا</w:t>
      </w:r>
      <w:proofErr w:type="spellEnd"/>
      <w:r>
        <w:rPr>
          <w:rFonts w:hint="cs"/>
          <w:rtl/>
        </w:rPr>
        <w:t xml:space="preserve"> و عم</w:t>
      </w:r>
      <w:r w:rsidR="00A66DF9">
        <w:rPr>
          <w:rFonts w:hint="cs"/>
          <w:rtl/>
        </w:rPr>
        <w:t>ل</w:t>
      </w:r>
      <w:r>
        <w:rPr>
          <w:rFonts w:hint="cs"/>
          <w:rtl/>
        </w:rPr>
        <w:t>ا ملک او حساب کن، تا اختلال نظام معاملاتی مسلمانان رخ ندهد.</w:t>
      </w:r>
    </w:p>
    <w:p w:rsidR="00D10497" w:rsidRDefault="00D10497" w:rsidP="00D10497">
      <w:pPr>
        <w:pStyle w:val="40"/>
        <w:jc w:val="both"/>
        <w:rPr>
          <w:rtl/>
        </w:rPr>
      </w:pPr>
      <w:bookmarkStart w:id="14" w:name="_Toc536466642"/>
      <w:r>
        <w:rPr>
          <w:rFonts w:hint="cs"/>
          <w:rtl/>
        </w:rPr>
        <w:t>اشکال به تخلص</w:t>
      </w:r>
      <w:bookmarkEnd w:id="14"/>
    </w:p>
    <w:p w:rsidR="00D10497" w:rsidRDefault="00D10497" w:rsidP="00D10497">
      <w:pPr>
        <w:jc w:val="both"/>
        <w:rPr>
          <w:rtl/>
        </w:rPr>
      </w:pPr>
      <w:r w:rsidRPr="00D54C6C">
        <w:rPr>
          <w:rFonts w:hint="cs"/>
          <w:b/>
          <w:bCs/>
          <w:rtl/>
        </w:rPr>
        <w:t>اولا</w:t>
      </w:r>
      <w:r>
        <w:rPr>
          <w:rFonts w:hint="cs"/>
          <w:rtl/>
        </w:rPr>
        <w:t>: این با ظاهر روایت نمی سازد. روایت ظهور در شهادت باب قضا دارد.</w:t>
      </w:r>
    </w:p>
    <w:p w:rsidR="00D10497" w:rsidRDefault="00D10497" w:rsidP="00D10497">
      <w:pPr>
        <w:jc w:val="both"/>
        <w:rPr>
          <w:rtl/>
        </w:rPr>
      </w:pPr>
      <w:r w:rsidRPr="00D54C6C">
        <w:rPr>
          <w:rFonts w:hint="cs"/>
          <w:b/>
          <w:bCs/>
          <w:rtl/>
        </w:rPr>
        <w:t>ثانیا</w:t>
      </w:r>
      <w:r>
        <w:rPr>
          <w:rFonts w:hint="cs"/>
          <w:rtl/>
        </w:rPr>
        <w:t xml:space="preserve">: به فرض این که مراد شهادت باب قضا نباشد، لکن جواز قَسَم هم(که در ذیل روایت، حضرت حکم به جواز آن بر اساس ید کرده اند) منوط به علم وجدانی است. </w:t>
      </w:r>
    </w:p>
    <w:p w:rsidR="00D10497" w:rsidRPr="00D54C6C" w:rsidRDefault="00D10497" w:rsidP="00D10497">
      <w:pPr>
        <w:jc w:val="both"/>
        <w:rPr>
          <w:b/>
          <w:bCs/>
          <w:rtl/>
        </w:rPr>
      </w:pPr>
      <w:r w:rsidRPr="00D54C6C">
        <w:rPr>
          <w:rFonts w:hint="cs"/>
          <w:b/>
          <w:bCs/>
          <w:rtl/>
        </w:rPr>
        <w:t>تخلص از ثانیا</w:t>
      </w:r>
    </w:p>
    <w:p w:rsidR="00D10497" w:rsidRDefault="00D10497" w:rsidP="00D10497">
      <w:pPr>
        <w:jc w:val="both"/>
        <w:rPr>
          <w:rtl/>
        </w:rPr>
      </w:pPr>
      <w:r>
        <w:rPr>
          <w:rFonts w:hint="cs"/>
          <w:rtl/>
        </w:rPr>
        <w:t>در قَسَم علم وجدانی لازم نیست.</w:t>
      </w:r>
    </w:p>
    <w:p w:rsidR="00D10497" w:rsidRDefault="00D10497" w:rsidP="00D10497">
      <w:pPr>
        <w:pStyle w:val="30"/>
        <w:jc w:val="both"/>
        <w:rPr>
          <w:rtl/>
        </w:rPr>
      </w:pPr>
      <w:bookmarkStart w:id="15" w:name="_Toc536466643"/>
      <w:bookmarkStart w:id="16" w:name="_Toc536499458"/>
      <w:r>
        <w:rPr>
          <w:rFonts w:hint="cs"/>
          <w:rtl/>
        </w:rPr>
        <w:lastRenderedPageBreak/>
        <w:t>تخلص 2</w:t>
      </w:r>
      <w:bookmarkEnd w:id="15"/>
      <w:bookmarkEnd w:id="16"/>
    </w:p>
    <w:p w:rsidR="00D10497" w:rsidRDefault="00D10497" w:rsidP="00267E3A">
      <w:pPr>
        <w:jc w:val="both"/>
        <w:rPr>
          <w:rtl/>
        </w:rPr>
      </w:pPr>
      <w:r>
        <w:rPr>
          <w:rFonts w:hint="cs"/>
          <w:rtl/>
        </w:rPr>
        <w:t>به فرض که این روایت مربوط به باب قضا باشد</w:t>
      </w:r>
      <w:r w:rsidR="00A66DF9">
        <w:rPr>
          <w:rFonts w:hint="cs"/>
          <w:rtl/>
        </w:rPr>
        <w:t xml:space="preserve"> </w:t>
      </w:r>
      <w:proofErr w:type="spellStart"/>
      <w:r w:rsidR="00A66DF9">
        <w:rPr>
          <w:rFonts w:hint="cs"/>
          <w:rtl/>
        </w:rPr>
        <w:t>ودرباب</w:t>
      </w:r>
      <w:proofErr w:type="spellEnd"/>
      <w:r w:rsidR="00A66DF9">
        <w:rPr>
          <w:rFonts w:hint="cs"/>
          <w:rtl/>
        </w:rPr>
        <w:t xml:space="preserve"> قضا شهادت با استناد به </w:t>
      </w:r>
      <w:proofErr w:type="spellStart"/>
      <w:r w:rsidR="00A66DF9">
        <w:rPr>
          <w:rFonts w:hint="cs"/>
          <w:rtl/>
        </w:rPr>
        <w:t>يد</w:t>
      </w:r>
      <w:proofErr w:type="spellEnd"/>
      <w:r w:rsidR="00A66DF9">
        <w:rPr>
          <w:rFonts w:hint="cs"/>
          <w:rtl/>
        </w:rPr>
        <w:t xml:space="preserve"> </w:t>
      </w:r>
      <w:proofErr w:type="spellStart"/>
      <w:r w:rsidR="00A66DF9">
        <w:rPr>
          <w:rFonts w:hint="cs"/>
          <w:rtl/>
        </w:rPr>
        <w:t>جايز</w:t>
      </w:r>
      <w:proofErr w:type="spellEnd"/>
      <w:r w:rsidR="00A66DF9">
        <w:rPr>
          <w:rFonts w:hint="cs"/>
          <w:rtl/>
        </w:rPr>
        <w:t xml:space="preserve"> نباشد</w:t>
      </w:r>
      <w:r>
        <w:rPr>
          <w:rFonts w:hint="cs"/>
          <w:rtl/>
        </w:rPr>
        <w:t xml:space="preserve">، لکن </w:t>
      </w:r>
      <w:proofErr w:type="spellStart"/>
      <w:r>
        <w:rPr>
          <w:rFonts w:hint="cs"/>
          <w:rtl/>
        </w:rPr>
        <w:t>مناقشه</w:t>
      </w:r>
      <w:proofErr w:type="spellEnd"/>
      <w:r>
        <w:rPr>
          <w:rFonts w:hint="cs"/>
          <w:rtl/>
        </w:rPr>
        <w:t xml:space="preserve"> مذکور مانع از </w:t>
      </w:r>
      <w:proofErr w:type="spellStart"/>
      <w:r>
        <w:rPr>
          <w:rFonts w:hint="cs"/>
          <w:rtl/>
        </w:rPr>
        <w:t>اماریت</w:t>
      </w:r>
      <w:proofErr w:type="spellEnd"/>
      <w:r>
        <w:rPr>
          <w:rFonts w:hint="cs"/>
          <w:rtl/>
        </w:rPr>
        <w:t xml:space="preserve"> مطلق ید نیست. </w:t>
      </w:r>
    </w:p>
    <w:p w:rsidR="00D10497" w:rsidRDefault="00D10497" w:rsidP="00D10497">
      <w:pPr>
        <w:jc w:val="both"/>
        <w:rPr>
          <w:rtl/>
        </w:rPr>
      </w:pPr>
      <w:r>
        <w:rPr>
          <w:rFonts w:hint="cs"/>
          <w:rtl/>
        </w:rPr>
        <w:t xml:space="preserve">توضیح: دو مطلب از روایت حفص استفاده می شود که درباره یکی از آن ها علم به خلاف داریم ولی در باره دیگری علم به عدم اعتبار نداریم لذا به آن اخذ می کنیم. مستفاد از صدر و ذیل این روایت این است که </w:t>
      </w:r>
      <w:r w:rsidRPr="009662E6">
        <w:rPr>
          <w:rFonts w:hint="cs"/>
          <w:u w:val="single"/>
          <w:rtl/>
        </w:rPr>
        <w:t>ید اماره بر ملکیت است</w:t>
      </w:r>
      <w:r>
        <w:rPr>
          <w:rFonts w:hint="cs"/>
          <w:rtl/>
        </w:rPr>
        <w:t xml:space="preserve">. اما اضافه بر این مطلب، دلالت می کند که </w:t>
      </w:r>
      <w:r w:rsidRPr="009662E6">
        <w:rPr>
          <w:rFonts w:hint="cs"/>
          <w:u w:val="single"/>
          <w:rtl/>
        </w:rPr>
        <w:t>شهادت به استناد ید، جایز و نافذ است</w:t>
      </w:r>
      <w:r>
        <w:rPr>
          <w:rFonts w:hint="cs"/>
          <w:rtl/>
        </w:rPr>
        <w:t xml:space="preserve">. حال که مطلب دوم قابل قبول نیست، آن را اخذ نکرده و فقط مطلب اوّل را اخذ می کنیم. </w:t>
      </w:r>
    </w:p>
    <w:p w:rsidR="00D10497" w:rsidRDefault="00D10497" w:rsidP="00D10497">
      <w:pPr>
        <w:jc w:val="both"/>
        <w:rPr>
          <w:rtl/>
        </w:rPr>
      </w:pPr>
      <w:r>
        <w:rPr>
          <w:rFonts w:hint="cs"/>
          <w:rtl/>
        </w:rPr>
        <w:t>مرحوم شیخ</w:t>
      </w:r>
      <w:r>
        <w:rPr>
          <w:rStyle w:val="ab"/>
          <w:rtl/>
        </w:rPr>
        <w:footnoteReference w:id="8"/>
      </w:r>
      <w:r>
        <w:rPr>
          <w:rFonts w:hint="cs"/>
          <w:rtl/>
        </w:rPr>
        <w:t xml:space="preserve"> نیز در بحث حدیث رفع درباره این که مرفوع به حدیث رفع، تمام آثار است یا خصوص عقوبت، فرمودند: به حدیث صفوان و بزنطی استدلال می کنیم که حدیث رفع تمام آثار را بر می دارد؛ زیرا امام ع در روایت بزنطی و صفوان می</w:t>
      </w:r>
      <w:r>
        <w:rPr>
          <w:rFonts w:hint="eastAsia"/>
          <w:rtl/>
        </w:rPr>
        <w:t>‌</w:t>
      </w:r>
      <w:r>
        <w:rPr>
          <w:rFonts w:hint="cs"/>
          <w:rtl/>
        </w:rPr>
        <w:t>فرماید: «اگر کسی اکراه به قَسَم بر طلاق زوجه خود شده است، قسم او نافذ نیست، زیرا رسول خدا ص فرمودند: رفع ما اکرهو علیه ...»</w:t>
      </w:r>
      <w:r>
        <w:rPr>
          <w:rStyle w:val="ab"/>
          <w:rtl/>
        </w:rPr>
        <w:footnoteReference w:id="9"/>
      </w:r>
      <w:r>
        <w:rPr>
          <w:rFonts w:hint="cs"/>
          <w:rtl/>
        </w:rPr>
        <w:t xml:space="preserve">. </w:t>
      </w:r>
    </w:p>
    <w:p w:rsidR="00D10497" w:rsidRDefault="00D10497" w:rsidP="00267E3A">
      <w:pPr>
        <w:jc w:val="both"/>
        <w:rPr>
          <w:rtl/>
        </w:rPr>
      </w:pPr>
      <w:r>
        <w:rPr>
          <w:rFonts w:hint="cs"/>
          <w:rtl/>
        </w:rPr>
        <w:t xml:space="preserve">این درحالی است که روایت صفوان و بزنطی مفاد دیگری نیز دارد که به آن أخذ نشده است. آن مفاد این است که </w:t>
      </w:r>
      <w:r w:rsidR="00267E3A">
        <w:rPr>
          <w:rFonts w:hint="cs"/>
          <w:rtl/>
        </w:rPr>
        <w:t xml:space="preserve">بطلان </w:t>
      </w:r>
      <w:r>
        <w:rPr>
          <w:rFonts w:hint="cs"/>
          <w:rtl/>
        </w:rPr>
        <w:t xml:space="preserve">طلاق، </w:t>
      </w:r>
      <w:proofErr w:type="spellStart"/>
      <w:r w:rsidR="00267E3A">
        <w:rPr>
          <w:rFonts w:hint="cs"/>
          <w:rtl/>
        </w:rPr>
        <w:t>دراين</w:t>
      </w:r>
      <w:proofErr w:type="spellEnd"/>
      <w:r w:rsidR="00267E3A">
        <w:rPr>
          <w:rFonts w:hint="cs"/>
          <w:rtl/>
        </w:rPr>
        <w:t xml:space="preserve"> مورد </w:t>
      </w:r>
      <w:proofErr w:type="spellStart"/>
      <w:r w:rsidR="00267E3A">
        <w:rPr>
          <w:rFonts w:hint="cs"/>
          <w:rtl/>
        </w:rPr>
        <w:t>ازجهت</w:t>
      </w:r>
      <w:proofErr w:type="spellEnd"/>
      <w:r w:rsidR="00267E3A">
        <w:rPr>
          <w:rFonts w:hint="cs"/>
          <w:rtl/>
        </w:rPr>
        <w:t xml:space="preserve"> اکراه </w:t>
      </w:r>
      <w:proofErr w:type="spellStart"/>
      <w:r w:rsidR="00267E3A">
        <w:rPr>
          <w:rFonts w:hint="cs"/>
          <w:rtl/>
        </w:rPr>
        <w:t>برقسم</w:t>
      </w:r>
      <w:proofErr w:type="spellEnd"/>
      <w:r w:rsidR="00267E3A">
        <w:rPr>
          <w:rFonts w:hint="cs"/>
          <w:rtl/>
        </w:rPr>
        <w:t xml:space="preserve"> به طلاق است </w:t>
      </w:r>
      <w:r>
        <w:rPr>
          <w:rFonts w:hint="cs"/>
          <w:rtl/>
        </w:rPr>
        <w:t>. در</w:t>
      </w:r>
      <w:r w:rsidR="00267E3A">
        <w:rPr>
          <w:rFonts w:hint="cs"/>
          <w:rtl/>
        </w:rPr>
        <w:t xml:space="preserve">حالی که اگر اکراهی هم </w:t>
      </w:r>
      <w:proofErr w:type="spellStart"/>
      <w:r w:rsidR="00267E3A">
        <w:rPr>
          <w:rFonts w:hint="cs"/>
          <w:rtl/>
        </w:rPr>
        <w:t>دربين</w:t>
      </w:r>
      <w:proofErr w:type="spellEnd"/>
      <w:r w:rsidR="00267E3A">
        <w:rPr>
          <w:rFonts w:hint="cs"/>
          <w:rtl/>
        </w:rPr>
        <w:t xml:space="preserve"> نبود طلاق به </w:t>
      </w:r>
      <w:proofErr w:type="spellStart"/>
      <w:r w:rsidR="00267E3A">
        <w:rPr>
          <w:rFonts w:hint="cs"/>
          <w:rtl/>
        </w:rPr>
        <w:t>وسيله</w:t>
      </w:r>
      <w:proofErr w:type="spellEnd"/>
      <w:r w:rsidR="00267E3A">
        <w:rPr>
          <w:rFonts w:hint="cs"/>
          <w:rtl/>
        </w:rPr>
        <w:t xml:space="preserve"> قسم خوردن واقع </w:t>
      </w:r>
      <w:proofErr w:type="spellStart"/>
      <w:r w:rsidR="00267E3A">
        <w:rPr>
          <w:rFonts w:hint="cs"/>
          <w:rtl/>
        </w:rPr>
        <w:t>نمی</w:t>
      </w:r>
      <w:proofErr w:type="spellEnd"/>
      <w:r w:rsidR="00267E3A">
        <w:rPr>
          <w:rFonts w:hint="cs"/>
          <w:rtl/>
        </w:rPr>
        <w:t xml:space="preserve"> شود بلکه </w:t>
      </w:r>
      <w:proofErr w:type="spellStart"/>
      <w:r w:rsidR="00267E3A">
        <w:rPr>
          <w:rFonts w:hint="cs"/>
          <w:rtl/>
        </w:rPr>
        <w:t>احتياج</w:t>
      </w:r>
      <w:proofErr w:type="spellEnd"/>
      <w:r w:rsidR="00267E3A">
        <w:rPr>
          <w:rFonts w:hint="cs"/>
          <w:rtl/>
        </w:rPr>
        <w:t xml:space="preserve"> به </w:t>
      </w:r>
      <w:proofErr w:type="spellStart"/>
      <w:r w:rsidR="00267E3A">
        <w:rPr>
          <w:rFonts w:hint="cs"/>
          <w:rtl/>
        </w:rPr>
        <w:t>صيغه</w:t>
      </w:r>
      <w:proofErr w:type="spellEnd"/>
      <w:r w:rsidR="00267E3A">
        <w:rPr>
          <w:rFonts w:hint="cs"/>
          <w:rtl/>
        </w:rPr>
        <w:t xml:space="preserve"> خاصه </w:t>
      </w:r>
      <w:proofErr w:type="spellStart"/>
      <w:r w:rsidR="00267E3A">
        <w:rPr>
          <w:rFonts w:hint="cs"/>
          <w:rtl/>
        </w:rPr>
        <w:t>وشرائط</w:t>
      </w:r>
      <w:proofErr w:type="spellEnd"/>
      <w:r w:rsidR="00267E3A">
        <w:rPr>
          <w:rFonts w:hint="cs"/>
          <w:rtl/>
        </w:rPr>
        <w:t xml:space="preserve"> خاصه دارد </w:t>
      </w:r>
      <w:r>
        <w:rPr>
          <w:rFonts w:hint="cs"/>
          <w:rtl/>
        </w:rPr>
        <w:t xml:space="preserve">مرحوم شیخ </w:t>
      </w:r>
      <w:r w:rsidR="00267E3A">
        <w:rPr>
          <w:rFonts w:hint="cs"/>
          <w:rtl/>
        </w:rPr>
        <w:t xml:space="preserve">می </w:t>
      </w:r>
      <w:proofErr w:type="spellStart"/>
      <w:r w:rsidR="00267E3A">
        <w:rPr>
          <w:rFonts w:hint="cs"/>
          <w:rtl/>
        </w:rPr>
        <w:t>فرمايد</w:t>
      </w:r>
      <w:proofErr w:type="spellEnd"/>
      <w:r w:rsidR="00267E3A">
        <w:rPr>
          <w:rFonts w:hint="cs"/>
          <w:rtl/>
        </w:rPr>
        <w:t xml:space="preserve"> عدم امکان اخذ به مفاد دوم مانع از اخذ به مفاد اول </w:t>
      </w:r>
      <w:proofErr w:type="spellStart"/>
      <w:r w:rsidR="00267E3A">
        <w:rPr>
          <w:rFonts w:hint="cs"/>
          <w:rtl/>
        </w:rPr>
        <w:t>نمی</w:t>
      </w:r>
      <w:proofErr w:type="spellEnd"/>
      <w:r w:rsidR="00267E3A">
        <w:rPr>
          <w:rFonts w:hint="cs"/>
          <w:rtl/>
        </w:rPr>
        <w:t xml:space="preserve"> شود</w:t>
      </w:r>
      <w:r>
        <w:rPr>
          <w:rFonts w:hint="cs"/>
          <w:rtl/>
        </w:rPr>
        <w:t xml:space="preserve">. به نظر می رسد که این </w:t>
      </w:r>
      <w:proofErr w:type="spellStart"/>
      <w:r w:rsidR="00267E3A">
        <w:rPr>
          <w:rFonts w:hint="cs"/>
          <w:rtl/>
        </w:rPr>
        <w:t>تفکيک</w:t>
      </w:r>
      <w:proofErr w:type="spellEnd"/>
      <w:r w:rsidR="00267E3A">
        <w:rPr>
          <w:rFonts w:hint="cs"/>
          <w:rtl/>
        </w:rPr>
        <w:t xml:space="preserve"> در اخذ به دو مفاد</w:t>
      </w:r>
      <w:r>
        <w:rPr>
          <w:rFonts w:hint="cs"/>
          <w:rtl/>
        </w:rPr>
        <w:t xml:space="preserve"> </w:t>
      </w:r>
      <w:proofErr w:type="spellStart"/>
      <w:r w:rsidR="00267E3A">
        <w:rPr>
          <w:rFonts w:hint="cs"/>
          <w:rtl/>
        </w:rPr>
        <w:t>يک</w:t>
      </w:r>
      <w:proofErr w:type="spellEnd"/>
      <w:r w:rsidR="00267E3A">
        <w:rPr>
          <w:rFonts w:hint="cs"/>
          <w:rtl/>
        </w:rPr>
        <w:t xml:space="preserve"> </w:t>
      </w:r>
      <w:proofErr w:type="spellStart"/>
      <w:r w:rsidR="00267E3A">
        <w:rPr>
          <w:rFonts w:hint="cs"/>
          <w:rtl/>
        </w:rPr>
        <w:t>روايت</w:t>
      </w:r>
      <w:proofErr w:type="spellEnd"/>
      <w:r w:rsidR="00267E3A">
        <w:rPr>
          <w:rFonts w:hint="cs"/>
          <w:rtl/>
        </w:rPr>
        <w:t xml:space="preserve"> </w:t>
      </w:r>
      <w:r>
        <w:rPr>
          <w:rFonts w:hint="cs"/>
          <w:rtl/>
        </w:rPr>
        <w:t xml:space="preserve">در ما </w:t>
      </w:r>
      <w:proofErr w:type="spellStart"/>
      <w:r>
        <w:rPr>
          <w:rFonts w:hint="cs"/>
          <w:rtl/>
        </w:rPr>
        <w:t>نحن</w:t>
      </w:r>
      <w:proofErr w:type="spellEnd"/>
      <w:r>
        <w:rPr>
          <w:rFonts w:hint="cs"/>
          <w:rtl/>
        </w:rPr>
        <w:t xml:space="preserve"> </w:t>
      </w:r>
      <w:proofErr w:type="spellStart"/>
      <w:r>
        <w:rPr>
          <w:rFonts w:hint="cs"/>
          <w:rtl/>
        </w:rPr>
        <w:t>فیه</w:t>
      </w:r>
      <w:proofErr w:type="spellEnd"/>
      <w:r>
        <w:rPr>
          <w:rFonts w:hint="cs"/>
          <w:rtl/>
        </w:rPr>
        <w:t xml:space="preserve"> هم </w:t>
      </w:r>
      <w:r w:rsidR="00267E3A">
        <w:rPr>
          <w:rFonts w:hint="cs"/>
          <w:rtl/>
        </w:rPr>
        <w:t>پیاده می شود</w:t>
      </w:r>
      <w:r>
        <w:rPr>
          <w:rFonts w:hint="cs"/>
          <w:rtl/>
        </w:rPr>
        <w:t>.</w:t>
      </w:r>
    </w:p>
    <w:p w:rsidR="00D10497" w:rsidRDefault="00D10497" w:rsidP="00D10497">
      <w:pPr>
        <w:pStyle w:val="1"/>
        <w:jc w:val="both"/>
      </w:pPr>
      <w:bookmarkStart w:id="17" w:name="_Toc536466644"/>
      <w:bookmarkStart w:id="18" w:name="_Toc536499459"/>
      <w:r>
        <w:rPr>
          <w:rFonts w:hint="cs"/>
          <w:rtl/>
        </w:rPr>
        <w:t>روایت 2: روایت یونس بن یعقوب</w:t>
      </w:r>
      <w:bookmarkEnd w:id="17"/>
      <w:bookmarkEnd w:id="18"/>
    </w:p>
    <w:p w:rsidR="00D10497" w:rsidRDefault="00D10497" w:rsidP="00D10497">
      <w:pPr>
        <w:jc w:val="both"/>
        <w:rPr>
          <w:color w:val="008000"/>
          <w:rtl/>
        </w:rPr>
      </w:pPr>
      <w:r w:rsidRPr="00E97380">
        <w:rPr>
          <w:rFonts w:hint="cs"/>
          <w:color w:val="008000"/>
          <w:rtl/>
        </w:rPr>
        <w:t>«</w:t>
      </w:r>
      <w:r>
        <w:rPr>
          <w:rFonts w:hint="cs"/>
          <w:color w:val="008000"/>
          <w:rtl/>
        </w:rPr>
        <w:t xml:space="preserve">{شیخ طوسی} </w:t>
      </w:r>
      <w:r w:rsidRPr="00E97380">
        <w:rPr>
          <w:color w:val="008000"/>
          <w:rtl/>
        </w:rPr>
        <w:t>عَنْ عَلِيِّ بْنِ الْحَسَنِ عَنْ مُحَمَّدِ بْنِ الْوَلِيدِ عَنْ يُونُسَ بْنِ يَعْقُوبَ عَنْ أَبِي عَبْدِ اللَّهِ ع فِي امْرَأَةٍ تَمُوتُ قَبْلَ الرَّجُلِ أَوْ رَجُلٍ قَبْلَ الْمَرْأَةِ قَالَ مَا كَانَ مِنْ مَتَاعِ النِّسَاءِ فَهُوَ لِلْمَرْأَةِ وَ مَا كَانَ مِنْ مَتَاعِ الرِّجَالِ وَ النِّسَاءِ فَهُوَ بَيْنَهُمَا وَ مَنِ اسْتَوْلَى عَلَى شَيْ‏ءٍ مِنْهُ فَهُوَ لَهُ.</w:t>
      </w:r>
      <w:r w:rsidRPr="00E97380">
        <w:rPr>
          <w:rFonts w:hint="cs"/>
          <w:color w:val="008000"/>
          <w:rtl/>
        </w:rPr>
        <w:t>»</w:t>
      </w:r>
      <w:r>
        <w:rPr>
          <w:rStyle w:val="ab"/>
          <w:color w:val="008000"/>
          <w:rtl/>
        </w:rPr>
        <w:footnoteReference w:id="10"/>
      </w:r>
    </w:p>
    <w:p w:rsidR="00D10497" w:rsidRDefault="00D10497" w:rsidP="00D10497">
      <w:pPr>
        <w:jc w:val="both"/>
        <w:rPr>
          <w:rtl/>
        </w:rPr>
      </w:pPr>
      <w:r w:rsidRPr="00E97380">
        <w:rPr>
          <w:rFonts w:hint="cs"/>
          <w:rtl/>
        </w:rPr>
        <w:lastRenderedPageBreak/>
        <w:t xml:space="preserve">حضرت می </w:t>
      </w:r>
      <w:r>
        <w:rPr>
          <w:rFonts w:hint="cs"/>
          <w:rtl/>
        </w:rPr>
        <w:t>فرماید که متاع های مخصوص زن، مال زن می شود، و آن چه مشترک است و هم زن و هم مرد از آن استفاده می</w:t>
      </w:r>
      <w:r>
        <w:rPr>
          <w:rFonts w:hint="eastAsia"/>
          <w:rtl/>
        </w:rPr>
        <w:t>‌</w:t>
      </w:r>
      <w:r>
        <w:rPr>
          <w:rFonts w:hint="cs"/>
          <w:rtl/>
        </w:rPr>
        <w:t>کند، بین این دو است. و اگر کسی استیلاء بر چیزی داشت برای خود اوست.</w:t>
      </w:r>
    </w:p>
    <w:p w:rsidR="00D10497" w:rsidRDefault="00D10497" w:rsidP="00D10497">
      <w:pPr>
        <w:pStyle w:val="20"/>
        <w:jc w:val="both"/>
        <w:rPr>
          <w:rtl/>
        </w:rPr>
      </w:pPr>
      <w:bookmarkStart w:id="19" w:name="_Toc536466645"/>
      <w:bookmarkStart w:id="20" w:name="_Toc536499460"/>
      <w:r>
        <w:rPr>
          <w:rFonts w:hint="cs"/>
          <w:rtl/>
        </w:rPr>
        <w:t>بررسی سندی</w:t>
      </w:r>
      <w:bookmarkEnd w:id="19"/>
      <w:bookmarkEnd w:id="20"/>
    </w:p>
    <w:p w:rsidR="00D10497" w:rsidRDefault="00D10497" w:rsidP="00267E3A">
      <w:pPr>
        <w:jc w:val="both"/>
        <w:rPr>
          <w:rtl/>
        </w:rPr>
      </w:pPr>
      <w:r>
        <w:rPr>
          <w:rFonts w:hint="cs"/>
          <w:rtl/>
        </w:rPr>
        <w:t>علی بن حسن بن فضال، محمد بن ولید، یونس بن یعقوب</w:t>
      </w:r>
      <w:r w:rsidRPr="00367642">
        <w:rPr>
          <w:rFonts w:hint="cs"/>
          <w:u w:val="single"/>
          <w:rtl/>
        </w:rPr>
        <w:t xml:space="preserve"> ثقه اند</w:t>
      </w:r>
      <w:r>
        <w:rPr>
          <w:rFonts w:hint="cs"/>
          <w:rtl/>
        </w:rPr>
        <w:t xml:space="preserve">، اگر چه فساد مذهب دارند و </w:t>
      </w:r>
      <w:proofErr w:type="spellStart"/>
      <w:r>
        <w:rPr>
          <w:rFonts w:hint="cs"/>
          <w:rtl/>
        </w:rPr>
        <w:t>ف</w:t>
      </w:r>
      <w:r w:rsidR="00267E3A">
        <w:rPr>
          <w:rFonts w:hint="cs"/>
          <w:rtl/>
        </w:rPr>
        <w:t>ط</w:t>
      </w:r>
      <w:r>
        <w:rPr>
          <w:rFonts w:hint="cs"/>
          <w:rtl/>
        </w:rPr>
        <w:t>حی</w:t>
      </w:r>
      <w:proofErr w:type="spellEnd"/>
      <w:r>
        <w:rPr>
          <w:rFonts w:hint="cs"/>
          <w:rtl/>
        </w:rPr>
        <w:t xml:space="preserve"> هستند.</w:t>
      </w:r>
    </w:p>
    <w:p w:rsidR="00D10497" w:rsidRDefault="00D10497" w:rsidP="00D10497">
      <w:pPr>
        <w:jc w:val="both"/>
        <w:rPr>
          <w:rtl/>
        </w:rPr>
      </w:pPr>
      <w:r>
        <w:rPr>
          <w:rFonts w:hint="cs"/>
          <w:rtl/>
        </w:rPr>
        <w:t>لکن سند شیخ تا علی بن حسن بن فضال محل اشکال است. سند ایشان به او (کما این که در فهرست آمده) مشتمل بر احمد بن عبد الواحد یعنی احمد بن عبدون و علی بن محمد بن زبیر قریشی است که دومی توثیقی ندارد.</w:t>
      </w:r>
    </w:p>
    <w:p w:rsidR="00D10497" w:rsidRDefault="00D10497" w:rsidP="00D10497">
      <w:pPr>
        <w:pStyle w:val="30"/>
        <w:jc w:val="both"/>
        <w:rPr>
          <w:rtl/>
        </w:rPr>
      </w:pPr>
      <w:bookmarkStart w:id="21" w:name="_Toc536466646"/>
      <w:bookmarkStart w:id="22" w:name="_Toc536499461"/>
      <w:r>
        <w:rPr>
          <w:rFonts w:hint="cs"/>
          <w:rtl/>
        </w:rPr>
        <w:t>تخلص از اشکال سندی</w:t>
      </w:r>
      <w:bookmarkEnd w:id="21"/>
      <w:bookmarkEnd w:id="22"/>
    </w:p>
    <w:p w:rsidR="00D10497" w:rsidRDefault="00D10497" w:rsidP="00E72325">
      <w:pPr>
        <w:jc w:val="both"/>
        <w:rPr>
          <w:rtl/>
        </w:rPr>
      </w:pPr>
      <w:r>
        <w:rPr>
          <w:rFonts w:hint="cs"/>
          <w:rtl/>
        </w:rPr>
        <w:t xml:space="preserve">در این جا </w:t>
      </w:r>
      <w:r w:rsidR="00267E3A">
        <w:rPr>
          <w:rFonts w:hint="cs"/>
          <w:rtl/>
        </w:rPr>
        <w:t xml:space="preserve">به </w:t>
      </w:r>
      <w:r>
        <w:rPr>
          <w:rFonts w:hint="cs"/>
          <w:rtl/>
        </w:rPr>
        <w:t xml:space="preserve">یکی از صورت های تعویض سند که از آن تعبیر به </w:t>
      </w:r>
      <w:r w:rsidRPr="00A72A9E">
        <w:rPr>
          <w:rFonts w:hint="cs"/>
          <w:u w:val="single"/>
          <w:rtl/>
        </w:rPr>
        <w:t xml:space="preserve">تعویض سند شیخ به سند </w:t>
      </w:r>
      <w:proofErr w:type="spellStart"/>
      <w:r w:rsidRPr="00A72A9E">
        <w:rPr>
          <w:rFonts w:hint="cs"/>
          <w:u w:val="single"/>
          <w:rtl/>
        </w:rPr>
        <w:t>نجاشی</w:t>
      </w:r>
      <w:proofErr w:type="spellEnd"/>
      <w:r>
        <w:rPr>
          <w:rFonts w:hint="cs"/>
          <w:rtl/>
        </w:rPr>
        <w:t xml:space="preserve"> </w:t>
      </w:r>
      <w:r w:rsidR="00E72325">
        <w:rPr>
          <w:rFonts w:hint="cs"/>
          <w:rtl/>
        </w:rPr>
        <w:t>می شود</w:t>
      </w:r>
      <w:r w:rsidR="00267E3A">
        <w:rPr>
          <w:rFonts w:hint="cs"/>
          <w:rtl/>
        </w:rPr>
        <w:t xml:space="preserve"> مشکل سندی برطرف می </w:t>
      </w:r>
      <w:r w:rsidR="00E72325">
        <w:rPr>
          <w:rFonts w:hint="cs"/>
          <w:rtl/>
        </w:rPr>
        <w:t>گرد</w:t>
      </w:r>
      <w:r w:rsidR="00267E3A">
        <w:rPr>
          <w:rFonts w:hint="cs"/>
          <w:rtl/>
        </w:rPr>
        <w:t>د</w:t>
      </w:r>
      <w:r>
        <w:rPr>
          <w:rFonts w:hint="cs"/>
          <w:rtl/>
        </w:rPr>
        <w:t xml:space="preserve">. به این بیان که در مثل این مورد که به سند ضعیف شیخ برخورد کردیم، از آن جا که نجاشی به کتب علی بن حسن فضال طریق صحیح دارد ما </w:t>
      </w:r>
      <w:proofErr w:type="spellStart"/>
      <w:r>
        <w:rPr>
          <w:rFonts w:hint="cs"/>
          <w:rtl/>
        </w:rPr>
        <w:t>سند</w:t>
      </w:r>
      <w:r w:rsidR="00E72325">
        <w:rPr>
          <w:rFonts w:hint="cs"/>
          <w:rtl/>
        </w:rPr>
        <w:t>شيخ</w:t>
      </w:r>
      <w:proofErr w:type="spellEnd"/>
      <w:r>
        <w:rPr>
          <w:rFonts w:hint="cs"/>
          <w:rtl/>
        </w:rPr>
        <w:t xml:space="preserve"> را </w:t>
      </w:r>
      <w:r w:rsidR="00E72325">
        <w:rPr>
          <w:rFonts w:hint="cs"/>
          <w:rtl/>
        </w:rPr>
        <w:t>ب</w:t>
      </w:r>
      <w:r>
        <w:rPr>
          <w:rFonts w:hint="cs"/>
          <w:rtl/>
        </w:rPr>
        <w:t>ه</w:t>
      </w:r>
      <w:r w:rsidR="00E72325">
        <w:rPr>
          <w:rFonts w:hint="cs"/>
          <w:rtl/>
        </w:rPr>
        <w:t xml:space="preserve"> سند </w:t>
      </w:r>
      <w:proofErr w:type="spellStart"/>
      <w:r w:rsidR="00E72325">
        <w:rPr>
          <w:rFonts w:hint="cs"/>
          <w:rtl/>
        </w:rPr>
        <w:t>نجاشی</w:t>
      </w:r>
      <w:proofErr w:type="spellEnd"/>
      <w:r>
        <w:rPr>
          <w:rFonts w:hint="cs"/>
          <w:rtl/>
        </w:rPr>
        <w:t xml:space="preserve"> عوض می کنیم تا مشکل آن حلّ شود.</w:t>
      </w:r>
    </w:p>
    <w:p w:rsidR="00D10497" w:rsidRDefault="00D10497" w:rsidP="00E72325">
      <w:pPr>
        <w:jc w:val="both"/>
        <w:rPr>
          <w:rtl/>
        </w:rPr>
      </w:pPr>
      <w:r>
        <w:rPr>
          <w:rFonts w:hint="cs"/>
          <w:rtl/>
        </w:rPr>
        <w:t xml:space="preserve">این </w:t>
      </w:r>
      <w:r w:rsidR="00E72325">
        <w:rPr>
          <w:rFonts w:hint="cs"/>
          <w:rtl/>
        </w:rPr>
        <w:t xml:space="preserve">صورت از </w:t>
      </w:r>
      <w:proofErr w:type="spellStart"/>
      <w:r w:rsidR="00E72325">
        <w:rPr>
          <w:rFonts w:hint="cs"/>
          <w:rtl/>
        </w:rPr>
        <w:t>تعويض</w:t>
      </w:r>
      <w:proofErr w:type="spellEnd"/>
      <w:r w:rsidR="00E72325">
        <w:rPr>
          <w:rFonts w:hint="cs"/>
          <w:rtl/>
        </w:rPr>
        <w:t xml:space="preserve"> سند </w:t>
      </w:r>
      <w:r>
        <w:rPr>
          <w:rFonts w:hint="cs"/>
          <w:rtl/>
        </w:rPr>
        <w:t xml:space="preserve"> </w:t>
      </w:r>
      <w:r w:rsidR="00E72325">
        <w:rPr>
          <w:rFonts w:hint="cs"/>
          <w:rtl/>
        </w:rPr>
        <w:t>یکی از صور</w:t>
      </w:r>
      <w:r>
        <w:rPr>
          <w:rFonts w:hint="cs"/>
          <w:rtl/>
        </w:rPr>
        <w:t xml:space="preserve"> قاعده عام تعویض سند است که مرحوم خوئی در مقدمه معجم و در مباحث فقهیه(مثل صوم، نکاح و غیره) مطرح کردند.</w:t>
      </w:r>
    </w:p>
    <w:p w:rsidR="00D10497" w:rsidRDefault="00D10497" w:rsidP="00E72325">
      <w:pPr>
        <w:jc w:val="both"/>
        <w:rPr>
          <w:rtl/>
        </w:rPr>
      </w:pPr>
      <w:r>
        <w:rPr>
          <w:rFonts w:hint="cs"/>
          <w:rtl/>
        </w:rPr>
        <w:t xml:space="preserve">مرحوم صدر ذیل حدیث رفع در تقریرات </w:t>
      </w:r>
      <w:r w:rsidRPr="00FF4C4A">
        <w:rPr>
          <w:rFonts w:hint="cs"/>
          <w:i/>
          <w:iCs/>
          <w:rtl/>
        </w:rPr>
        <w:t>مباحث الاصول</w:t>
      </w:r>
      <w:r>
        <w:rPr>
          <w:rFonts w:hint="cs"/>
          <w:i/>
          <w:iCs/>
          <w:rtl/>
        </w:rPr>
        <w:t>،</w:t>
      </w:r>
      <w:r>
        <w:rPr>
          <w:rStyle w:val="ab"/>
          <w:i/>
          <w:iCs/>
          <w:rtl/>
        </w:rPr>
        <w:footnoteReference w:id="11"/>
      </w:r>
      <w:r>
        <w:rPr>
          <w:rFonts w:hint="cs"/>
          <w:rtl/>
        </w:rPr>
        <w:t xml:space="preserve"> </w:t>
      </w:r>
      <w:proofErr w:type="spellStart"/>
      <w:r w:rsidR="00E72325">
        <w:rPr>
          <w:rFonts w:hint="cs"/>
          <w:rtl/>
        </w:rPr>
        <w:t>نيز</w:t>
      </w:r>
      <w:r>
        <w:rPr>
          <w:rFonts w:hint="cs"/>
          <w:rtl/>
        </w:rPr>
        <w:t>صورت</w:t>
      </w:r>
      <w:proofErr w:type="spellEnd"/>
      <w:r>
        <w:rPr>
          <w:rFonts w:hint="cs"/>
          <w:rtl/>
        </w:rPr>
        <w:t xml:space="preserve"> های مختلف تعویض سند را مطرح کردند و بعض الاعلام در کتاب </w:t>
      </w:r>
      <w:r w:rsidRPr="00FF4C4A">
        <w:rPr>
          <w:rFonts w:hint="cs"/>
          <w:i/>
          <w:iCs/>
          <w:rtl/>
        </w:rPr>
        <w:t>القضا فی الفقه الاسلامی</w:t>
      </w:r>
      <w:r>
        <w:rPr>
          <w:rFonts w:hint="cs"/>
          <w:rtl/>
        </w:rPr>
        <w:t xml:space="preserve"> </w:t>
      </w:r>
      <w:r>
        <w:rPr>
          <w:rStyle w:val="ab"/>
          <w:rtl/>
        </w:rPr>
        <w:footnoteReference w:id="12"/>
      </w:r>
      <w:r>
        <w:rPr>
          <w:rFonts w:hint="cs"/>
          <w:rtl/>
        </w:rPr>
        <w:t xml:space="preserve">همین بیانات مرحوم صدر را </w:t>
      </w:r>
      <w:proofErr w:type="spellStart"/>
      <w:r w:rsidR="00E72325">
        <w:rPr>
          <w:rFonts w:hint="cs"/>
          <w:rtl/>
        </w:rPr>
        <w:t>توضيح</w:t>
      </w:r>
      <w:proofErr w:type="spellEnd"/>
      <w:r w:rsidR="00E72325">
        <w:rPr>
          <w:rFonts w:hint="cs"/>
          <w:rtl/>
        </w:rPr>
        <w:t xml:space="preserve"> داده </w:t>
      </w:r>
      <w:proofErr w:type="spellStart"/>
      <w:r w:rsidR="00E72325">
        <w:rPr>
          <w:rFonts w:hint="cs"/>
          <w:rtl/>
        </w:rPr>
        <w:t>ا</w:t>
      </w:r>
      <w:r>
        <w:rPr>
          <w:rFonts w:hint="cs"/>
          <w:rtl/>
        </w:rPr>
        <w:t>ند</w:t>
      </w:r>
      <w:proofErr w:type="spellEnd"/>
      <w:r>
        <w:rPr>
          <w:rFonts w:hint="cs"/>
          <w:rtl/>
        </w:rPr>
        <w:t>.</w:t>
      </w:r>
    </w:p>
    <w:p w:rsidR="00D10497" w:rsidRDefault="00E72325" w:rsidP="00E72325">
      <w:pPr>
        <w:jc w:val="both"/>
        <w:rPr>
          <w:rtl/>
        </w:rPr>
      </w:pPr>
      <w:r>
        <w:rPr>
          <w:rFonts w:hint="cs"/>
          <w:rtl/>
        </w:rPr>
        <w:t xml:space="preserve">این صورت از </w:t>
      </w:r>
      <w:proofErr w:type="spellStart"/>
      <w:r>
        <w:rPr>
          <w:rFonts w:hint="cs"/>
          <w:rtl/>
        </w:rPr>
        <w:t>تعويض</w:t>
      </w:r>
      <w:proofErr w:type="spellEnd"/>
      <w:r>
        <w:rPr>
          <w:rFonts w:hint="cs"/>
          <w:rtl/>
        </w:rPr>
        <w:t xml:space="preserve"> سند به دو </w:t>
      </w:r>
      <w:proofErr w:type="spellStart"/>
      <w:r>
        <w:rPr>
          <w:rFonts w:hint="cs"/>
          <w:rtl/>
        </w:rPr>
        <w:t>بيان</w:t>
      </w:r>
      <w:proofErr w:type="spellEnd"/>
      <w:r w:rsidR="00D10497">
        <w:rPr>
          <w:rFonts w:hint="cs"/>
          <w:rtl/>
        </w:rPr>
        <w:t xml:space="preserve"> تقریب </w:t>
      </w:r>
      <w:proofErr w:type="spellStart"/>
      <w:r>
        <w:rPr>
          <w:rFonts w:hint="cs"/>
          <w:rtl/>
        </w:rPr>
        <w:t>تقريب</w:t>
      </w:r>
      <w:proofErr w:type="spellEnd"/>
      <w:r>
        <w:rPr>
          <w:rFonts w:hint="cs"/>
          <w:rtl/>
        </w:rPr>
        <w:t xml:space="preserve"> شده </w:t>
      </w:r>
      <w:r w:rsidR="00D10497">
        <w:rPr>
          <w:rFonts w:hint="cs"/>
          <w:rtl/>
        </w:rPr>
        <w:t>که یکی</w:t>
      </w:r>
      <w:r>
        <w:rPr>
          <w:rFonts w:hint="cs"/>
          <w:rtl/>
        </w:rPr>
        <w:t xml:space="preserve"> از </w:t>
      </w:r>
      <w:proofErr w:type="spellStart"/>
      <w:r>
        <w:rPr>
          <w:rFonts w:hint="cs"/>
          <w:rtl/>
        </w:rPr>
        <w:t>آندو</w:t>
      </w:r>
      <w:proofErr w:type="spellEnd"/>
      <w:r w:rsidR="00D10497">
        <w:rPr>
          <w:rFonts w:hint="cs"/>
          <w:rtl/>
        </w:rPr>
        <w:t xml:space="preserve"> </w:t>
      </w:r>
      <w:r>
        <w:rPr>
          <w:rFonts w:hint="cs"/>
          <w:rtl/>
        </w:rPr>
        <w:t xml:space="preserve">تمام </w:t>
      </w:r>
      <w:proofErr w:type="spellStart"/>
      <w:r>
        <w:rPr>
          <w:rFonts w:hint="cs"/>
          <w:rtl/>
        </w:rPr>
        <w:t>نيست</w:t>
      </w:r>
      <w:proofErr w:type="spellEnd"/>
      <w:r w:rsidR="00D10497">
        <w:rPr>
          <w:rFonts w:hint="cs"/>
          <w:rtl/>
        </w:rPr>
        <w:t>:</w:t>
      </w:r>
    </w:p>
    <w:p w:rsidR="00D10497" w:rsidRPr="00A72A9E" w:rsidRDefault="00D10497" w:rsidP="00D10497">
      <w:pPr>
        <w:pStyle w:val="40"/>
        <w:jc w:val="both"/>
        <w:rPr>
          <w:rtl/>
        </w:rPr>
      </w:pPr>
      <w:bookmarkStart w:id="23" w:name="_Toc536466647"/>
      <w:r w:rsidRPr="00A72A9E">
        <w:rPr>
          <w:rFonts w:hint="cs"/>
          <w:rtl/>
        </w:rPr>
        <w:t xml:space="preserve">تقریب </w:t>
      </w:r>
      <w:r w:rsidR="00E72325">
        <w:rPr>
          <w:rFonts w:hint="cs"/>
          <w:rtl/>
        </w:rPr>
        <w:t xml:space="preserve"> اول (</w:t>
      </w:r>
      <w:r w:rsidRPr="00A72A9E">
        <w:rPr>
          <w:rFonts w:hint="cs"/>
          <w:rtl/>
        </w:rPr>
        <w:t xml:space="preserve">مرحوم </w:t>
      </w:r>
      <w:proofErr w:type="spellStart"/>
      <w:r w:rsidRPr="00A72A9E">
        <w:rPr>
          <w:rFonts w:hint="cs"/>
          <w:rtl/>
        </w:rPr>
        <w:t>خوئی</w:t>
      </w:r>
      <w:bookmarkEnd w:id="23"/>
      <w:proofErr w:type="spellEnd"/>
      <w:r w:rsidR="00E72325">
        <w:rPr>
          <w:rFonts w:hint="cs"/>
          <w:rtl/>
        </w:rPr>
        <w:t xml:space="preserve"> در بعضی </w:t>
      </w:r>
      <w:proofErr w:type="spellStart"/>
      <w:r w:rsidR="00E72325">
        <w:rPr>
          <w:rFonts w:hint="cs"/>
          <w:rtl/>
        </w:rPr>
        <w:t>ازکتب</w:t>
      </w:r>
      <w:proofErr w:type="spellEnd"/>
      <w:r w:rsidR="00E72325">
        <w:rPr>
          <w:rFonts w:hint="cs"/>
          <w:rtl/>
        </w:rPr>
        <w:t>)</w:t>
      </w:r>
    </w:p>
    <w:p w:rsidR="00D10497" w:rsidRDefault="00D10497" w:rsidP="00D10497">
      <w:pPr>
        <w:jc w:val="both"/>
        <w:rPr>
          <w:rtl/>
        </w:rPr>
      </w:pPr>
      <w:r>
        <w:rPr>
          <w:rFonts w:hint="cs"/>
          <w:rtl/>
        </w:rPr>
        <w:t xml:space="preserve">ایشان در مقدمه معجم الرجال فرموده اند </w:t>
      </w:r>
      <w:r w:rsidRPr="00274525">
        <w:rPr>
          <w:rFonts w:hint="cs"/>
          <w:color w:val="000080"/>
          <w:rtl/>
        </w:rPr>
        <w:t xml:space="preserve">که اگر دیدیم که سند مرحوم شیخ به شخصی ضعیف باشد (مثل سند شیخ به علی بن حسن فضال) می توانیم از سند نجاشی استفاده کنیم </w:t>
      </w:r>
      <w:r>
        <w:rPr>
          <w:rFonts w:hint="cs"/>
          <w:rtl/>
        </w:rPr>
        <w:t xml:space="preserve">به این بیان که چون مرحوم شیخ طوسی و نجاشی دارای استاد مشترکی هستند که ثقه است(مثل احمد بن عبدون) هر دو از یک استاد این روایات را نقل می کنند. اگر مرحوم نجاشی سند صحیحی داشته باشد معنایش این است که از همین استاد مشترک گرفته و این یعنی اگر استاد سند صحیحی را به نجاشی داده پس این </w:t>
      </w:r>
      <w:r>
        <w:rPr>
          <w:rFonts w:hint="cs"/>
          <w:rtl/>
        </w:rPr>
        <w:lastRenderedPageBreak/>
        <w:t>سند را به مرحوم شیخ هم داده است. در نتیجه اگر چه روایت شیخ به سند صحیح نرسیده لکن این روایت با همین متن دارای سند دیگری است که صحیح است</w:t>
      </w:r>
      <w:r w:rsidR="00A92E66">
        <w:rPr>
          <w:rFonts w:hint="cs"/>
          <w:rtl/>
        </w:rPr>
        <w:t xml:space="preserve"> </w:t>
      </w:r>
      <w:r w:rsidR="00A92E66">
        <w:rPr>
          <w:rStyle w:val="ab"/>
          <w:rtl/>
        </w:rPr>
        <w:footnoteReference w:id="13"/>
      </w:r>
      <w:r w:rsidR="00A92E66">
        <w:rPr>
          <w:rFonts w:hint="cs"/>
          <w:rtl/>
        </w:rPr>
        <w:t xml:space="preserve"> </w:t>
      </w:r>
      <w:proofErr w:type="spellStart"/>
      <w:r w:rsidR="00A92E66">
        <w:rPr>
          <w:rFonts w:hint="cs"/>
          <w:rtl/>
        </w:rPr>
        <w:t>ودرکتاب</w:t>
      </w:r>
      <w:proofErr w:type="spellEnd"/>
      <w:r w:rsidR="00A92E66">
        <w:rPr>
          <w:rFonts w:hint="cs"/>
          <w:rtl/>
        </w:rPr>
        <w:t xml:space="preserve"> </w:t>
      </w:r>
      <w:proofErr w:type="spellStart"/>
      <w:r w:rsidR="00A92E66">
        <w:rPr>
          <w:rFonts w:hint="cs"/>
          <w:rtl/>
        </w:rPr>
        <w:t>الصوم</w:t>
      </w:r>
      <w:proofErr w:type="spellEnd"/>
      <w:r w:rsidR="00A92E66">
        <w:rPr>
          <w:rFonts w:hint="cs"/>
          <w:rtl/>
        </w:rPr>
        <w:t xml:space="preserve"> هم از </w:t>
      </w:r>
      <w:proofErr w:type="spellStart"/>
      <w:r w:rsidR="00A92E66">
        <w:rPr>
          <w:rFonts w:hint="cs"/>
          <w:rtl/>
        </w:rPr>
        <w:t>اين</w:t>
      </w:r>
      <w:proofErr w:type="spellEnd"/>
      <w:r w:rsidR="00A92E66">
        <w:rPr>
          <w:rFonts w:hint="cs"/>
          <w:rtl/>
        </w:rPr>
        <w:t xml:space="preserve"> </w:t>
      </w:r>
      <w:proofErr w:type="spellStart"/>
      <w:r w:rsidR="00A92E66">
        <w:rPr>
          <w:rFonts w:hint="cs"/>
          <w:rtl/>
        </w:rPr>
        <w:t>تقريب</w:t>
      </w:r>
      <w:proofErr w:type="spellEnd"/>
      <w:r w:rsidR="00A92E66">
        <w:rPr>
          <w:rFonts w:hint="cs"/>
          <w:rtl/>
        </w:rPr>
        <w:t xml:space="preserve"> استفاده شده است</w:t>
      </w:r>
      <w:r>
        <w:rPr>
          <w:rFonts w:hint="cs"/>
          <w:rtl/>
        </w:rPr>
        <w:t>.</w:t>
      </w:r>
      <w:r w:rsidR="00A92E66">
        <w:rPr>
          <w:rStyle w:val="ab"/>
          <w:rtl/>
        </w:rPr>
        <w:footnoteReference w:id="14"/>
      </w:r>
    </w:p>
    <w:p w:rsidR="00D10497" w:rsidRPr="00A72A9E" w:rsidRDefault="00D10497" w:rsidP="00E72325">
      <w:pPr>
        <w:pStyle w:val="50"/>
        <w:jc w:val="both"/>
        <w:rPr>
          <w:rtl/>
        </w:rPr>
      </w:pPr>
      <w:bookmarkStart w:id="24" w:name="_Toc536466648"/>
      <w:r w:rsidRPr="00A72A9E">
        <w:rPr>
          <w:rFonts w:hint="cs"/>
          <w:rtl/>
        </w:rPr>
        <w:t xml:space="preserve">اشکال در تقریب </w:t>
      </w:r>
      <w:bookmarkEnd w:id="24"/>
      <w:r w:rsidR="00E72325">
        <w:rPr>
          <w:rFonts w:hint="cs"/>
          <w:rtl/>
        </w:rPr>
        <w:t>اول</w:t>
      </w:r>
    </w:p>
    <w:p w:rsidR="00D10497" w:rsidRDefault="00D10497" w:rsidP="00E72325">
      <w:pPr>
        <w:jc w:val="both"/>
        <w:rPr>
          <w:rtl/>
        </w:rPr>
      </w:pPr>
      <w:r>
        <w:rPr>
          <w:rFonts w:hint="cs"/>
          <w:rtl/>
        </w:rPr>
        <w:t xml:space="preserve">اگر چه نجاشی سند صحیح دارد لکن این سند صحیح او از استاد </w:t>
      </w:r>
      <w:r w:rsidR="00E72325">
        <w:rPr>
          <w:rFonts w:hint="cs"/>
          <w:rtl/>
        </w:rPr>
        <w:t xml:space="preserve">مشترک او </w:t>
      </w:r>
      <w:proofErr w:type="spellStart"/>
      <w:r w:rsidR="00E72325">
        <w:rPr>
          <w:rFonts w:hint="cs"/>
          <w:rtl/>
        </w:rPr>
        <w:t>و</w:t>
      </w:r>
      <w:r>
        <w:rPr>
          <w:rFonts w:hint="cs"/>
          <w:rtl/>
        </w:rPr>
        <w:t>شیخ</w:t>
      </w:r>
      <w:proofErr w:type="spellEnd"/>
      <w:r w:rsidR="00E72325">
        <w:rPr>
          <w:rFonts w:hint="cs"/>
          <w:rtl/>
        </w:rPr>
        <w:t xml:space="preserve"> طوسی </w:t>
      </w:r>
      <w:r>
        <w:rPr>
          <w:rFonts w:hint="cs"/>
          <w:rtl/>
        </w:rPr>
        <w:t xml:space="preserve"> که همان احمد بن عبدون باشد عبور نمی کند، بلکه سندی دیگر دارد. سند مشترک او با شیخ  این است: احمد بن عبد الواحد(احمد بن عبدون) از علی بن محمد بن زبیر از علی بن حسن فضال. سند دوم: محمد بن جعفر فی آخرین از ابن عقده از علی بن حسن فضال. لذا سند دوم اصلا از طریق استاد مشترک(احمد بن عبدون) عبور نمی‌کند. </w:t>
      </w:r>
      <w:r w:rsidR="00E72325">
        <w:rPr>
          <w:rFonts w:hint="cs"/>
          <w:rtl/>
        </w:rPr>
        <w:t xml:space="preserve">تا </w:t>
      </w:r>
      <w:proofErr w:type="spellStart"/>
      <w:r w:rsidR="00E72325">
        <w:rPr>
          <w:rFonts w:hint="cs"/>
          <w:rtl/>
        </w:rPr>
        <w:t>اين</w:t>
      </w:r>
      <w:proofErr w:type="spellEnd"/>
      <w:r>
        <w:rPr>
          <w:rFonts w:hint="cs"/>
          <w:rtl/>
        </w:rPr>
        <w:t xml:space="preserve"> تقریب </w:t>
      </w:r>
      <w:proofErr w:type="spellStart"/>
      <w:r w:rsidR="00E72325">
        <w:rPr>
          <w:rFonts w:hint="cs"/>
          <w:rtl/>
        </w:rPr>
        <w:t>پياده</w:t>
      </w:r>
      <w:proofErr w:type="spellEnd"/>
      <w:r w:rsidR="00E72325">
        <w:rPr>
          <w:rFonts w:hint="cs"/>
          <w:rtl/>
        </w:rPr>
        <w:t xml:space="preserve"> شود</w:t>
      </w:r>
      <w:r>
        <w:rPr>
          <w:rFonts w:hint="cs"/>
          <w:rtl/>
        </w:rPr>
        <w:t>.</w:t>
      </w:r>
    </w:p>
    <w:p w:rsidR="00D10497" w:rsidRPr="00A72A9E" w:rsidRDefault="00D10497" w:rsidP="00E72325">
      <w:pPr>
        <w:pStyle w:val="6"/>
        <w:jc w:val="both"/>
        <w:rPr>
          <w:rtl/>
        </w:rPr>
      </w:pPr>
      <w:bookmarkStart w:id="25" w:name="_Toc536466649"/>
      <w:r w:rsidRPr="00A72A9E">
        <w:rPr>
          <w:rFonts w:hint="cs"/>
          <w:rtl/>
        </w:rPr>
        <w:t xml:space="preserve">تقریب </w:t>
      </w:r>
      <w:r w:rsidR="00E72325">
        <w:rPr>
          <w:rFonts w:hint="cs"/>
          <w:rtl/>
        </w:rPr>
        <w:t>دوم (</w:t>
      </w:r>
      <w:bookmarkEnd w:id="25"/>
      <w:r w:rsidR="00E72325">
        <w:rPr>
          <w:rFonts w:hint="cs"/>
          <w:rtl/>
        </w:rPr>
        <w:t xml:space="preserve">مرحوم </w:t>
      </w:r>
      <w:proofErr w:type="spellStart"/>
      <w:r w:rsidR="00E72325">
        <w:rPr>
          <w:rFonts w:hint="cs"/>
          <w:rtl/>
        </w:rPr>
        <w:t>خوئي</w:t>
      </w:r>
      <w:proofErr w:type="spellEnd"/>
      <w:r w:rsidR="00E72325">
        <w:rPr>
          <w:rFonts w:hint="cs"/>
          <w:rtl/>
        </w:rPr>
        <w:t xml:space="preserve"> </w:t>
      </w:r>
      <w:proofErr w:type="spellStart"/>
      <w:r w:rsidR="00E72325">
        <w:rPr>
          <w:rFonts w:hint="cs"/>
          <w:rtl/>
        </w:rPr>
        <w:t>دربعضی</w:t>
      </w:r>
      <w:proofErr w:type="spellEnd"/>
      <w:r w:rsidR="00E72325">
        <w:rPr>
          <w:rFonts w:hint="cs"/>
          <w:rtl/>
        </w:rPr>
        <w:t xml:space="preserve"> </w:t>
      </w:r>
      <w:proofErr w:type="spellStart"/>
      <w:r w:rsidR="00E72325">
        <w:rPr>
          <w:rFonts w:hint="cs"/>
          <w:rtl/>
        </w:rPr>
        <w:t>ديگر</w:t>
      </w:r>
      <w:proofErr w:type="spellEnd"/>
      <w:r w:rsidR="00E72325">
        <w:rPr>
          <w:rFonts w:hint="cs"/>
          <w:rtl/>
        </w:rPr>
        <w:t xml:space="preserve"> </w:t>
      </w:r>
      <w:proofErr w:type="spellStart"/>
      <w:r w:rsidR="00E72325">
        <w:rPr>
          <w:rFonts w:hint="cs"/>
          <w:rtl/>
        </w:rPr>
        <w:t>ازکتب</w:t>
      </w:r>
      <w:proofErr w:type="spellEnd"/>
      <w:r w:rsidR="00E72325">
        <w:rPr>
          <w:rFonts w:hint="cs"/>
          <w:rtl/>
        </w:rPr>
        <w:t xml:space="preserve"> ،</w:t>
      </w:r>
      <w:proofErr w:type="spellStart"/>
      <w:r w:rsidR="00E72325">
        <w:rPr>
          <w:rFonts w:hint="cs"/>
          <w:rtl/>
        </w:rPr>
        <w:t>ومرحوم</w:t>
      </w:r>
      <w:proofErr w:type="spellEnd"/>
      <w:r w:rsidR="00E72325">
        <w:rPr>
          <w:rFonts w:hint="cs"/>
          <w:rtl/>
        </w:rPr>
        <w:t xml:space="preserve"> صدر)</w:t>
      </w:r>
    </w:p>
    <w:p w:rsidR="00D10497" w:rsidRDefault="00D10497" w:rsidP="00A92E66">
      <w:pPr>
        <w:jc w:val="both"/>
        <w:rPr>
          <w:rtl/>
        </w:rPr>
      </w:pPr>
      <w:r>
        <w:rPr>
          <w:rFonts w:hint="cs"/>
          <w:rtl/>
        </w:rPr>
        <w:t>اما تقریب صحیح( که</w:t>
      </w:r>
      <w:r w:rsidRPr="005A270C">
        <w:rPr>
          <w:rFonts w:hint="cs"/>
          <w:rtl/>
        </w:rPr>
        <w:t xml:space="preserve"> </w:t>
      </w:r>
      <w:r>
        <w:rPr>
          <w:rFonts w:hint="cs"/>
          <w:rtl/>
        </w:rPr>
        <w:t xml:space="preserve">مرحوم خوئی در کتاب النکاح </w:t>
      </w:r>
      <w:r w:rsidR="00A92E66">
        <w:rPr>
          <w:rFonts w:hint="cs"/>
          <w:rtl/>
        </w:rPr>
        <w:t>(</w:t>
      </w:r>
      <w:r>
        <w:rPr>
          <w:rFonts w:hint="cs"/>
          <w:rtl/>
        </w:rPr>
        <w:t xml:space="preserve">در بحث حرمت ابدی </w:t>
      </w:r>
      <w:r w:rsidR="00A92E66">
        <w:rPr>
          <w:rFonts w:hint="cs"/>
          <w:rtl/>
        </w:rPr>
        <w:t>که به سبب لواط ثابت می شود )</w:t>
      </w:r>
      <w:r>
        <w:rPr>
          <w:rFonts w:hint="cs"/>
          <w:rtl/>
        </w:rPr>
        <w:t xml:space="preserve"> آورده است </w:t>
      </w:r>
      <w:r w:rsidR="00A92E66">
        <w:rPr>
          <w:rStyle w:val="ab"/>
          <w:rtl/>
        </w:rPr>
        <w:footnoteReference w:id="15"/>
      </w:r>
      <w:r>
        <w:rPr>
          <w:rFonts w:hint="cs"/>
          <w:rtl/>
        </w:rPr>
        <w:t>و هم چنین در کتاب مباحث</w:t>
      </w:r>
      <w:r w:rsidR="00A92E66">
        <w:rPr>
          <w:rFonts w:hint="cs"/>
          <w:rtl/>
        </w:rPr>
        <w:t xml:space="preserve"> </w:t>
      </w:r>
      <w:proofErr w:type="spellStart"/>
      <w:r w:rsidR="00A92E66">
        <w:rPr>
          <w:rFonts w:hint="cs"/>
          <w:rtl/>
        </w:rPr>
        <w:t>الاصول</w:t>
      </w:r>
      <w:proofErr w:type="spellEnd"/>
      <w:r>
        <w:rPr>
          <w:rFonts w:hint="cs"/>
          <w:rtl/>
        </w:rPr>
        <w:t xml:space="preserve"> و در کتاب القضا نقل شده است،) این است که در این جا از آن جایی که مرحوم نجاشی هم مانند مرحوم شیخ همین سند ضعیف را دارد ولی در کنار آن، سند قوی نیز دارد. در این جا با دو مقدمه و ضمیمه کردن یکی از آن ها به دیگری نتیجه می گیریم که متن روایاتی که شیخ طوسی از علی بن حسن فضال نقل کرده است صحیح است. </w:t>
      </w:r>
    </w:p>
    <w:p w:rsidR="00D10497" w:rsidRPr="00A72A9E" w:rsidRDefault="00D10497" w:rsidP="00D10497">
      <w:pPr>
        <w:pStyle w:val="7"/>
        <w:jc w:val="both"/>
        <w:rPr>
          <w:rtl/>
        </w:rPr>
      </w:pPr>
      <w:bookmarkStart w:id="26" w:name="_Toc536466650"/>
      <w:r w:rsidRPr="00A72A9E">
        <w:rPr>
          <w:rFonts w:hint="cs"/>
          <w:rtl/>
        </w:rPr>
        <w:t>مقدمه اول</w:t>
      </w:r>
      <w:bookmarkEnd w:id="26"/>
      <w:r w:rsidRPr="00A72A9E">
        <w:rPr>
          <w:rFonts w:hint="cs"/>
          <w:rtl/>
        </w:rPr>
        <w:t xml:space="preserve"> </w:t>
      </w:r>
    </w:p>
    <w:p w:rsidR="00D10497" w:rsidRDefault="00D10497" w:rsidP="00D10497">
      <w:pPr>
        <w:jc w:val="both"/>
        <w:rPr>
          <w:rtl/>
        </w:rPr>
      </w:pPr>
      <w:r>
        <w:rPr>
          <w:rFonts w:hint="cs"/>
          <w:rtl/>
        </w:rPr>
        <w:t>متن روایتی که مرحوم شیخ نقل کرده با روایتی که مرحوم نجاشی به سند ضعیف نقل کرده است یکی است، زیرا مرحوم شیخ و نجاشی هر دو از یک استاد نقل کردند و استادشان از یک کتاب نقل کرد لذا متن واحدی را برای هر دو نقل کرده است.</w:t>
      </w:r>
    </w:p>
    <w:p w:rsidR="00D10497" w:rsidRDefault="00D10497" w:rsidP="00D10497">
      <w:pPr>
        <w:pStyle w:val="7"/>
        <w:jc w:val="both"/>
        <w:rPr>
          <w:rtl/>
        </w:rPr>
      </w:pPr>
      <w:bookmarkStart w:id="27" w:name="_Toc536466651"/>
      <w:r>
        <w:rPr>
          <w:rFonts w:hint="cs"/>
          <w:rtl/>
        </w:rPr>
        <w:t>مقدمه دوم</w:t>
      </w:r>
      <w:bookmarkEnd w:id="27"/>
    </w:p>
    <w:p w:rsidR="00D10497" w:rsidRDefault="00D10497" w:rsidP="00D10497">
      <w:pPr>
        <w:jc w:val="both"/>
        <w:rPr>
          <w:rtl/>
        </w:rPr>
      </w:pPr>
      <w:r>
        <w:rPr>
          <w:rFonts w:hint="cs"/>
          <w:rtl/>
        </w:rPr>
        <w:t xml:space="preserve">متن این روایت که به نجاشی با سند ضعیف رسیده است با آن چه به سند قوی به او رسیده است، یکی است؛ زیرا مرحوم نجاشی در مواردی که متن ها مختلف باشند متعرّض اختلاف شده است. لذا هر جا متعرّض نشد پس متن ها یکی است. </w:t>
      </w:r>
    </w:p>
    <w:p w:rsidR="00D10497" w:rsidRDefault="00D10497" w:rsidP="00D10497">
      <w:pPr>
        <w:pStyle w:val="7"/>
        <w:jc w:val="both"/>
        <w:rPr>
          <w:rtl/>
        </w:rPr>
      </w:pPr>
      <w:bookmarkStart w:id="28" w:name="_Toc536466652"/>
      <w:r>
        <w:rPr>
          <w:rFonts w:hint="cs"/>
          <w:rtl/>
        </w:rPr>
        <w:lastRenderedPageBreak/>
        <w:t>نتیجه</w:t>
      </w:r>
      <w:bookmarkEnd w:id="28"/>
    </w:p>
    <w:p w:rsidR="00D10497" w:rsidRDefault="00D10497" w:rsidP="00A92E66">
      <w:pPr>
        <w:jc w:val="both"/>
        <w:rPr>
          <w:rtl/>
        </w:rPr>
      </w:pPr>
      <w:r>
        <w:rPr>
          <w:rFonts w:hint="cs"/>
          <w:rtl/>
        </w:rPr>
        <w:t>با ضمیمه کردن این دو مقدمه معلوم می شود که متن روای</w:t>
      </w:r>
      <w:r w:rsidR="00A92E66">
        <w:rPr>
          <w:rFonts w:hint="cs"/>
          <w:rtl/>
        </w:rPr>
        <w:t>ا</w:t>
      </w:r>
      <w:r>
        <w:rPr>
          <w:rFonts w:hint="cs"/>
          <w:rtl/>
        </w:rPr>
        <w:t>ت تهذیب</w:t>
      </w:r>
      <w:r w:rsidR="00A92E66">
        <w:rPr>
          <w:rFonts w:hint="cs"/>
          <w:rtl/>
        </w:rPr>
        <w:t xml:space="preserve"> </w:t>
      </w:r>
      <w:proofErr w:type="spellStart"/>
      <w:r w:rsidR="00A92E66">
        <w:rPr>
          <w:rFonts w:hint="cs"/>
          <w:rtl/>
        </w:rPr>
        <w:t>واستبصار</w:t>
      </w:r>
      <w:proofErr w:type="spellEnd"/>
      <w:r w:rsidR="00A92E66">
        <w:rPr>
          <w:rFonts w:hint="cs"/>
          <w:rtl/>
        </w:rPr>
        <w:t xml:space="preserve"> که </w:t>
      </w:r>
      <w:proofErr w:type="spellStart"/>
      <w:r w:rsidR="00A92E66">
        <w:rPr>
          <w:rFonts w:hint="cs"/>
          <w:rtl/>
        </w:rPr>
        <w:t>ازعلی</w:t>
      </w:r>
      <w:proofErr w:type="spellEnd"/>
      <w:r w:rsidR="00A92E66">
        <w:rPr>
          <w:rFonts w:hint="cs"/>
          <w:rtl/>
        </w:rPr>
        <w:t xml:space="preserve"> بن حسن بن </w:t>
      </w:r>
      <w:proofErr w:type="spellStart"/>
      <w:r w:rsidR="00A92E66">
        <w:rPr>
          <w:rFonts w:hint="cs"/>
          <w:rtl/>
        </w:rPr>
        <w:t>فضال</w:t>
      </w:r>
      <w:proofErr w:type="spellEnd"/>
      <w:r w:rsidR="00A92E66">
        <w:rPr>
          <w:rFonts w:hint="cs"/>
          <w:rtl/>
        </w:rPr>
        <w:t xml:space="preserve"> نقل شده است  </w:t>
      </w:r>
      <w:r>
        <w:rPr>
          <w:rFonts w:hint="cs"/>
          <w:rtl/>
        </w:rPr>
        <w:t xml:space="preserve"> همان چیزی است که نجاشی با سند صحیح نقل کرده است. لکن از آن جا که نجاشی کتاب حدیثی ندارد، همین که شیخ طوسی در کتاب تهذیب یا استبصار این روایت را نقل کند</w:t>
      </w:r>
      <w:r w:rsidR="00A92E66">
        <w:rPr>
          <w:rFonts w:hint="cs"/>
          <w:rtl/>
        </w:rPr>
        <w:t xml:space="preserve"> می </w:t>
      </w:r>
      <w:proofErr w:type="spellStart"/>
      <w:r w:rsidR="00A92E66">
        <w:rPr>
          <w:rFonts w:hint="cs"/>
          <w:rtl/>
        </w:rPr>
        <w:t>توانيم</w:t>
      </w:r>
      <w:proofErr w:type="spellEnd"/>
      <w:r w:rsidR="00A92E66">
        <w:rPr>
          <w:rFonts w:hint="cs"/>
          <w:rtl/>
        </w:rPr>
        <w:t xml:space="preserve"> به آن استناد </w:t>
      </w:r>
      <w:proofErr w:type="spellStart"/>
      <w:r w:rsidR="00A92E66">
        <w:rPr>
          <w:rFonts w:hint="cs"/>
          <w:rtl/>
        </w:rPr>
        <w:t>کنيم</w:t>
      </w:r>
      <w:proofErr w:type="spellEnd"/>
      <w:r w:rsidR="00A92E66">
        <w:rPr>
          <w:rFonts w:hint="cs"/>
          <w:rtl/>
        </w:rPr>
        <w:t xml:space="preserve"> </w:t>
      </w:r>
      <w:r>
        <w:rPr>
          <w:rFonts w:hint="cs"/>
          <w:rtl/>
        </w:rPr>
        <w:t xml:space="preserve"> </w:t>
      </w:r>
      <w:r w:rsidR="00A92E66">
        <w:rPr>
          <w:rFonts w:hint="cs"/>
          <w:rtl/>
        </w:rPr>
        <w:t>چون</w:t>
      </w:r>
      <w:r>
        <w:rPr>
          <w:rFonts w:hint="cs"/>
          <w:rtl/>
        </w:rPr>
        <w:t xml:space="preserve"> {متن}این روایت دارای سند معتبر است(که همان سند نجاشی باشد).</w:t>
      </w:r>
    </w:p>
    <w:p w:rsidR="00D10497" w:rsidRDefault="00D10497" w:rsidP="00D10497">
      <w:pPr>
        <w:pStyle w:val="1"/>
        <w:rPr>
          <w:rtl/>
        </w:rPr>
      </w:pPr>
      <w:bookmarkStart w:id="29" w:name="_Toc536499462"/>
      <w:r>
        <w:rPr>
          <w:rFonts w:hint="cs"/>
          <w:rtl/>
        </w:rPr>
        <w:t>خلاصه جلسه</w:t>
      </w:r>
      <w:bookmarkEnd w:id="29"/>
    </w:p>
    <w:p w:rsidR="00D10497" w:rsidRDefault="00D10497" w:rsidP="00A92E66">
      <w:pPr>
        <w:jc w:val="both"/>
        <w:rPr>
          <w:rtl/>
        </w:rPr>
      </w:pPr>
      <w:r>
        <w:rPr>
          <w:rFonts w:hint="cs"/>
          <w:rtl/>
        </w:rPr>
        <w:t xml:space="preserve">اشکال دلالی 2: باید به قدر متیقن اخذ کرد چون نسخه ها مختلف است. تخلّص: معنای عرفی هر دو نسخه یکی است. اشکال دلالی 3: مفاد این روایت با مسلّمات باب شهادات سازگار نیست. شهادت باید از روی علم باشد. تخلص 1: مقصود اخبار است. اشکال به تخلص: این خلاف ظاهر روایت است. تخلّص 2: روایت دو مفاد دارد </w:t>
      </w:r>
      <w:r w:rsidR="00A92E66">
        <w:rPr>
          <w:rFonts w:hint="cs"/>
          <w:rtl/>
        </w:rPr>
        <w:t>اگر</w:t>
      </w:r>
      <w:r>
        <w:rPr>
          <w:rFonts w:hint="cs"/>
          <w:rtl/>
        </w:rPr>
        <w:t xml:space="preserve"> یکی</w:t>
      </w:r>
      <w:r w:rsidR="00A92E66">
        <w:rPr>
          <w:rFonts w:hint="cs"/>
          <w:rtl/>
        </w:rPr>
        <w:t xml:space="preserve"> از </w:t>
      </w:r>
      <w:proofErr w:type="spellStart"/>
      <w:r w:rsidR="00A92E66">
        <w:rPr>
          <w:rFonts w:hint="cs"/>
          <w:rtl/>
        </w:rPr>
        <w:t>آندو</w:t>
      </w:r>
      <w:proofErr w:type="spellEnd"/>
      <w:r>
        <w:rPr>
          <w:rFonts w:hint="cs"/>
          <w:rtl/>
        </w:rPr>
        <w:t xml:space="preserve"> </w:t>
      </w:r>
      <w:r w:rsidR="00A92E66">
        <w:rPr>
          <w:rFonts w:hint="cs"/>
          <w:rtl/>
        </w:rPr>
        <w:t>قابل اخذ نباشد</w:t>
      </w:r>
      <w:r>
        <w:rPr>
          <w:rFonts w:hint="cs"/>
          <w:rtl/>
        </w:rPr>
        <w:t xml:space="preserve"> </w:t>
      </w:r>
      <w:r w:rsidR="00A92E66">
        <w:rPr>
          <w:rFonts w:hint="cs"/>
          <w:rtl/>
        </w:rPr>
        <w:t xml:space="preserve">اخذ به </w:t>
      </w:r>
      <w:r>
        <w:rPr>
          <w:rFonts w:hint="cs"/>
          <w:rtl/>
        </w:rPr>
        <w:t xml:space="preserve">دیگری </w:t>
      </w:r>
      <w:r w:rsidR="00A92E66">
        <w:rPr>
          <w:rFonts w:hint="cs"/>
          <w:rtl/>
        </w:rPr>
        <w:t>مانعی ندارد</w:t>
      </w:r>
      <w:r>
        <w:rPr>
          <w:rFonts w:hint="cs"/>
          <w:rtl/>
        </w:rPr>
        <w:t xml:space="preserve">. </w:t>
      </w:r>
    </w:p>
    <w:p w:rsidR="00D10497" w:rsidRDefault="00D10497" w:rsidP="00D10497">
      <w:pPr>
        <w:jc w:val="both"/>
        <w:rPr>
          <w:rtl/>
        </w:rPr>
      </w:pPr>
      <w:r>
        <w:rPr>
          <w:rFonts w:hint="cs"/>
          <w:rtl/>
        </w:rPr>
        <w:t>روایت 2: از یونس بن یعقوب: بررسی سندی: سند شیخ تا علی بن حسن فضال دارای ضعف است. تخلّص: با قاعده تعویض سند مشکل حل می شود.</w:t>
      </w:r>
      <w:r>
        <w:rPr>
          <w:rStyle w:val="ab"/>
          <w:rtl/>
        </w:rPr>
        <w:footnoteReference w:id="16"/>
      </w:r>
      <w:r>
        <w:rPr>
          <w:rFonts w:hint="cs"/>
          <w:rtl/>
        </w:rPr>
        <w:t xml:space="preserve"> </w:t>
      </w:r>
    </w:p>
    <w:p w:rsidR="00D10497" w:rsidRDefault="00D10497" w:rsidP="00D10497">
      <w:pPr>
        <w:jc w:val="both"/>
        <w:rPr>
          <w:rtl/>
        </w:rPr>
      </w:pPr>
    </w:p>
    <w:p w:rsidR="00D10497" w:rsidRPr="00E97380" w:rsidRDefault="00D10497" w:rsidP="00D10497">
      <w:pPr>
        <w:jc w:val="both"/>
        <w:rPr>
          <w:rtl/>
        </w:rPr>
      </w:pPr>
    </w:p>
    <w:p w:rsidR="004A2DBD" w:rsidRPr="00D10497" w:rsidRDefault="004A2DBD" w:rsidP="00D10497">
      <w:pPr>
        <w:rPr>
          <w:szCs w:val="22"/>
          <w:rtl/>
        </w:rPr>
      </w:pPr>
    </w:p>
    <w:sectPr w:rsidR="004A2DBD" w:rsidRPr="00D10497"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0A" w:rsidRDefault="00206D0A" w:rsidP="008B750B">
      <w:pPr>
        <w:spacing w:line="240" w:lineRule="auto"/>
      </w:pPr>
      <w:r>
        <w:separator/>
      </w:r>
    </w:p>
  </w:endnote>
  <w:endnote w:type="continuationSeparator" w:id="0">
    <w:p w:rsidR="00206D0A" w:rsidRDefault="00206D0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C72715" w:rsidRPr="006D44C1" w:rsidTr="0020241A">
      <w:tc>
        <w:tcPr>
          <w:tcW w:w="3382" w:type="dxa"/>
          <w:tcBorders>
            <w:top w:val="nil"/>
            <w:left w:val="nil"/>
            <w:bottom w:val="nil"/>
            <w:right w:val="nil"/>
          </w:tcBorders>
        </w:tcPr>
        <w:p w:rsidR="00C72715" w:rsidRDefault="00C72715"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C72715" w:rsidRDefault="00C72715" w:rsidP="006D44C1">
          <w:pPr>
            <w:pStyle w:val="a6"/>
            <w:jc w:val="right"/>
            <w:rPr>
              <w:rtl/>
            </w:rPr>
          </w:pPr>
          <w:r>
            <w:rPr>
              <w:rFonts w:hint="cs"/>
              <w:rtl/>
            </w:rPr>
            <w:t xml:space="preserve">صفحه </w:t>
          </w:r>
          <w:r>
            <w:fldChar w:fldCharType="begin"/>
          </w:r>
          <w:r>
            <w:instrText>PAGE   \* MERGEFORMAT</w:instrText>
          </w:r>
          <w:r>
            <w:fldChar w:fldCharType="separate"/>
          </w:r>
          <w:r w:rsidR="00A92E66" w:rsidRPr="00A92E66">
            <w:rPr>
              <w:noProof/>
              <w:rtl/>
              <w:lang w:val="fa-IR"/>
            </w:rPr>
            <w:t>4</w:t>
          </w:r>
          <w:r>
            <w:rPr>
              <w:noProof/>
            </w:rPr>
            <w:fldChar w:fldCharType="end"/>
          </w:r>
        </w:p>
      </w:tc>
      <w:tc>
        <w:tcPr>
          <w:tcW w:w="4786" w:type="dxa"/>
          <w:tcBorders>
            <w:top w:val="nil"/>
            <w:left w:val="nil"/>
            <w:bottom w:val="nil"/>
            <w:right w:val="nil"/>
          </w:tcBorders>
          <w:vAlign w:val="center"/>
        </w:tcPr>
        <w:p w:rsidR="00C72715" w:rsidRPr="006D44C1" w:rsidRDefault="00C72715" w:rsidP="001B6799">
          <w:pPr>
            <w:pStyle w:val="a6"/>
            <w:bidi w:val="0"/>
            <w:rPr>
              <w:color w:val="808080" w:themeColor="background1" w:themeShade="80"/>
              <w:rtl/>
            </w:rPr>
          </w:pPr>
          <w:bookmarkStart w:id="37" w:name="BokAdres"/>
          <w:bookmarkEnd w:id="37"/>
          <w:r>
            <w:rPr>
              <w:color w:val="808080" w:themeColor="background1" w:themeShade="80"/>
            </w:rPr>
            <w:t>U1hs1_13971108-071_mr3_mfeb.ir</w:t>
          </w:r>
        </w:p>
      </w:tc>
    </w:tr>
  </w:tbl>
  <w:p w:rsidR="00C72715" w:rsidRDefault="00C72715"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0A" w:rsidRDefault="00206D0A" w:rsidP="008B750B">
      <w:pPr>
        <w:spacing w:line="240" w:lineRule="auto"/>
      </w:pPr>
      <w:r>
        <w:separator/>
      </w:r>
    </w:p>
  </w:footnote>
  <w:footnote w:type="continuationSeparator" w:id="0">
    <w:p w:rsidR="00206D0A" w:rsidRDefault="00206D0A" w:rsidP="008B750B">
      <w:pPr>
        <w:spacing w:line="240" w:lineRule="auto"/>
      </w:pPr>
      <w:r>
        <w:continuationSeparator/>
      </w:r>
    </w:p>
  </w:footnote>
  <w:footnote w:id="1">
    <w:p w:rsidR="00D10497" w:rsidRDefault="00D10497" w:rsidP="00D10497">
      <w:pPr>
        <w:pStyle w:val="a9"/>
      </w:pPr>
      <w:r>
        <w:rPr>
          <w:rStyle w:val="ab"/>
        </w:rPr>
        <w:footnoteRef/>
      </w:r>
      <w:r>
        <w:rPr>
          <w:rtl/>
        </w:rPr>
        <w:t xml:space="preserve"> </w:t>
      </w:r>
      <w:r>
        <w:rPr>
          <w:rFonts w:hint="cs"/>
          <w:rtl/>
        </w:rPr>
        <w:t xml:space="preserve">القواعد الفقهیه، سید علی السیستانی، ج1، ص298. «و لا بد من الاخذ بالقدر المتیقن...علی وفق الید المؤکّده و المقرونه بالتصرّفات»         </w:t>
      </w:r>
      <w:r>
        <w:rPr>
          <w:rFonts w:hint="cs"/>
          <w:rtl/>
        </w:rPr>
        <w:tab/>
      </w:r>
    </w:p>
  </w:footnote>
  <w:footnote w:id="2">
    <w:p w:rsidR="00D10497" w:rsidRPr="00AA3DB8" w:rsidRDefault="00D10497" w:rsidP="00D10497">
      <w:pPr>
        <w:pStyle w:val="a9"/>
      </w:pPr>
      <w:r w:rsidRPr="00AA3DB8">
        <w:footnoteRef/>
      </w:r>
      <w:r w:rsidRPr="00AA3DB8">
        <w:rPr>
          <w:rtl/>
        </w:rPr>
        <w:t xml:space="preserve"> </w:t>
      </w:r>
      <w:hyperlink r:id="rId1" w:history="1">
        <w:r w:rsidRPr="00AA3DB8">
          <w:rPr>
            <w:rStyle w:val="ac"/>
            <w:rFonts w:hint="eastAsia"/>
            <w:rtl/>
          </w:rPr>
          <w:t>من</w:t>
        </w:r>
        <w:r w:rsidRPr="00AA3DB8">
          <w:rPr>
            <w:rStyle w:val="ac"/>
            <w:rtl/>
          </w:rPr>
          <w:t xml:space="preserve"> لا </w:t>
        </w:r>
        <w:r w:rsidRPr="00AA3DB8">
          <w:rPr>
            <w:rStyle w:val="ac"/>
            <w:rFonts w:hint="cs"/>
            <w:rtl/>
          </w:rPr>
          <w:t>ی</w:t>
        </w:r>
        <w:r w:rsidRPr="00AA3DB8">
          <w:rPr>
            <w:rStyle w:val="ac"/>
            <w:rFonts w:hint="eastAsia"/>
            <w:rtl/>
          </w:rPr>
          <w:t>حضره</w:t>
        </w:r>
        <w:r w:rsidRPr="00AA3DB8">
          <w:rPr>
            <w:rStyle w:val="ac"/>
            <w:rtl/>
          </w:rPr>
          <w:t xml:space="preserve"> الفق</w:t>
        </w:r>
        <w:r w:rsidRPr="00AA3DB8">
          <w:rPr>
            <w:rStyle w:val="ac"/>
            <w:rFonts w:hint="cs"/>
            <w:rtl/>
          </w:rPr>
          <w:t>ی</w:t>
        </w:r>
        <w:r w:rsidRPr="00AA3DB8">
          <w:rPr>
            <w:rStyle w:val="ac"/>
            <w:rFonts w:hint="eastAsia"/>
            <w:rtl/>
          </w:rPr>
          <w:t>ه،</w:t>
        </w:r>
        <w:r w:rsidRPr="00AA3DB8">
          <w:rPr>
            <w:rStyle w:val="ac"/>
            <w:rtl/>
          </w:rPr>
          <w:t xml:space="preserve"> ش</w:t>
        </w:r>
        <w:r w:rsidRPr="00AA3DB8">
          <w:rPr>
            <w:rStyle w:val="ac"/>
            <w:rFonts w:hint="cs"/>
            <w:rtl/>
          </w:rPr>
          <w:t>ی</w:t>
        </w:r>
        <w:r w:rsidRPr="00AA3DB8">
          <w:rPr>
            <w:rStyle w:val="ac"/>
            <w:rFonts w:hint="eastAsia"/>
            <w:rtl/>
          </w:rPr>
          <w:t>خ</w:t>
        </w:r>
        <w:r w:rsidRPr="00AA3DB8">
          <w:rPr>
            <w:rStyle w:val="ac"/>
            <w:rtl/>
          </w:rPr>
          <w:t xml:space="preserve"> صدوق، ج3، ص51.</w:t>
        </w:r>
      </w:hyperlink>
    </w:p>
  </w:footnote>
  <w:footnote w:id="3">
    <w:p w:rsidR="00D10497" w:rsidRPr="00CC7A64" w:rsidRDefault="00D10497" w:rsidP="00D10497">
      <w:pPr>
        <w:pStyle w:val="a9"/>
      </w:pPr>
      <w:r w:rsidRPr="00CC7A64">
        <w:footnoteRef/>
      </w:r>
      <w:r w:rsidRPr="00CC7A64">
        <w:rPr>
          <w:rtl/>
        </w:rPr>
        <w:t xml:space="preserve"> </w:t>
      </w:r>
      <w:hyperlink r:id="rId2" w:history="1">
        <w:r w:rsidRPr="00CC7A64">
          <w:rPr>
            <w:rStyle w:val="ac"/>
            <w:rFonts w:hint="eastAsia"/>
            <w:rtl/>
          </w:rPr>
          <w:t>الکاف</w:t>
        </w:r>
        <w:r w:rsidRPr="00CC7A64">
          <w:rPr>
            <w:rStyle w:val="ac"/>
            <w:rFonts w:hint="cs"/>
            <w:rtl/>
          </w:rPr>
          <w:t>ی</w:t>
        </w:r>
        <w:r w:rsidRPr="00CC7A64">
          <w:rPr>
            <w:rStyle w:val="ac"/>
            <w:rFonts w:hint="eastAsia"/>
            <w:rtl/>
          </w:rPr>
          <w:t>،</w:t>
        </w:r>
        <w:r w:rsidRPr="00CC7A64">
          <w:rPr>
            <w:rStyle w:val="ac"/>
            <w:rtl/>
          </w:rPr>
          <w:t xml:space="preserve"> محمد بن </w:t>
        </w:r>
        <w:r w:rsidRPr="00CC7A64">
          <w:rPr>
            <w:rStyle w:val="ac"/>
            <w:rFonts w:hint="cs"/>
            <w:rtl/>
          </w:rPr>
          <w:t>ی</w:t>
        </w:r>
        <w:r w:rsidRPr="00CC7A64">
          <w:rPr>
            <w:rStyle w:val="ac"/>
            <w:rFonts w:hint="eastAsia"/>
            <w:rtl/>
          </w:rPr>
          <w:t>عقوب</w:t>
        </w:r>
        <w:r w:rsidRPr="00CC7A64">
          <w:rPr>
            <w:rStyle w:val="ac"/>
            <w:rtl/>
          </w:rPr>
          <w:t xml:space="preserve"> کل</w:t>
        </w:r>
        <w:r w:rsidRPr="00CC7A64">
          <w:rPr>
            <w:rStyle w:val="ac"/>
            <w:rFonts w:hint="cs"/>
            <w:rtl/>
          </w:rPr>
          <w:t>ی</w:t>
        </w:r>
        <w:r w:rsidRPr="00CC7A64">
          <w:rPr>
            <w:rStyle w:val="ac"/>
            <w:rFonts w:hint="eastAsia"/>
            <w:rtl/>
          </w:rPr>
          <w:t>ن</w:t>
        </w:r>
        <w:r w:rsidRPr="00CC7A64">
          <w:rPr>
            <w:rStyle w:val="ac"/>
            <w:rFonts w:hint="cs"/>
            <w:rtl/>
          </w:rPr>
          <w:t>ی</w:t>
        </w:r>
        <w:r w:rsidRPr="00CC7A64">
          <w:rPr>
            <w:rStyle w:val="ac"/>
            <w:rFonts w:hint="eastAsia"/>
            <w:rtl/>
          </w:rPr>
          <w:t>،</w:t>
        </w:r>
        <w:r w:rsidRPr="00CC7A64">
          <w:rPr>
            <w:rStyle w:val="ac"/>
            <w:rtl/>
          </w:rPr>
          <w:t xml:space="preserve"> ج7، ص387.</w:t>
        </w:r>
      </w:hyperlink>
    </w:p>
  </w:footnote>
  <w:footnote w:id="4">
    <w:p w:rsidR="00D10497" w:rsidRPr="00CC7A64" w:rsidRDefault="00D10497" w:rsidP="00D10497">
      <w:pPr>
        <w:pStyle w:val="a9"/>
      </w:pPr>
      <w:r w:rsidRPr="00CC7A64">
        <w:footnoteRef/>
      </w:r>
      <w:r w:rsidRPr="00CC7A64">
        <w:rPr>
          <w:rtl/>
        </w:rPr>
        <w:t xml:space="preserve"> </w:t>
      </w:r>
      <w:hyperlink r:id="rId3" w:history="1">
        <w:r w:rsidRPr="00CC7A64">
          <w:rPr>
            <w:rStyle w:val="ac"/>
            <w:rtl/>
          </w:rPr>
          <w:t>تهذ</w:t>
        </w:r>
        <w:r w:rsidRPr="00CC7A64">
          <w:rPr>
            <w:rStyle w:val="ac"/>
            <w:rFonts w:hint="cs"/>
            <w:rtl/>
          </w:rPr>
          <w:t>ی</w:t>
        </w:r>
        <w:r w:rsidRPr="00CC7A64">
          <w:rPr>
            <w:rStyle w:val="ac"/>
            <w:rFonts w:hint="eastAsia"/>
            <w:rtl/>
          </w:rPr>
          <w:t>ب</w:t>
        </w:r>
        <w:r w:rsidRPr="00CC7A64">
          <w:rPr>
            <w:rStyle w:val="ac"/>
            <w:rtl/>
          </w:rPr>
          <w:t xml:space="preserve"> الاحکام، ش</w:t>
        </w:r>
        <w:r w:rsidRPr="00CC7A64">
          <w:rPr>
            <w:rStyle w:val="ac"/>
            <w:rFonts w:hint="cs"/>
            <w:rtl/>
          </w:rPr>
          <w:t>ی</w:t>
        </w:r>
        <w:r w:rsidRPr="00CC7A64">
          <w:rPr>
            <w:rStyle w:val="ac"/>
            <w:rFonts w:hint="eastAsia"/>
            <w:rtl/>
          </w:rPr>
          <w:t>خ</w:t>
        </w:r>
        <w:r w:rsidRPr="00CC7A64">
          <w:rPr>
            <w:rStyle w:val="ac"/>
            <w:rtl/>
          </w:rPr>
          <w:t xml:space="preserve"> طوس</w:t>
        </w:r>
        <w:r w:rsidRPr="00CC7A64">
          <w:rPr>
            <w:rStyle w:val="ac"/>
            <w:rFonts w:hint="cs"/>
            <w:rtl/>
          </w:rPr>
          <w:t>ی</w:t>
        </w:r>
        <w:r w:rsidRPr="00CC7A64">
          <w:rPr>
            <w:rStyle w:val="ac"/>
            <w:rFonts w:hint="eastAsia"/>
            <w:rtl/>
          </w:rPr>
          <w:t>،</w:t>
        </w:r>
        <w:r w:rsidRPr="00CC7A64">
          <w:rPr>
            <w:rStyle w:val="ac"/>
            <w:rtl/>
          </w:rPr>
          <w:t xml:space="preserve"> ج6، ص262.</w:t>
        </w:r>
      </w:hyperlink>
    </w:p>
  </w:footnote>
  <w:footnote w:id="5">
    <w:p w:rsidR="00D10497" w:rsidRPr="00D0690F" w:rsidRDefault="00D10497" w:rsidP="00D10497">
      <w:pPr>
        <w:pStyle w:val="a9"/>
      </w:pPr>
      <w:r w:rsidRPr="00D0690F">
        <w:footnoteRef/>
      </w:r>
      <w:r w:rsidRPr="00D0690F">
        <w:rPr>
          <w:rtl/>
        </w:rPr>
        <w:t xml:space="preserve"> </w:t>
      </w:r>
      <w:r w:rsidRPr="00D0690F">
        <w:rPr>
          <w:rFonts w:hint="eastAsia"/>
          <w:rtl/>
        </w:rPr>
        <w:t>سوره</w:t>
      </w:r>
      <w:r w:rsidRPr="00D0690F">
        <w:rPr>
          <w:rtl/>
        </w:rPr>
        <w:t xml:space="preserve"> مائده، آيه 64.</w:t>
      </w:r>
    </w:p>
  </w:footnote>
  <w:footnote w:id="6">
    <w:p w:rsidR="00D10497" w:rsidRPr="006B7F52" w:rsidRDefault="00D10497" w:rsidP="00D10497">
      <w:pPr>
        <w:pStyle w:val="a9"/>
      </w:pPr>
      <w:r w:rsidRPr="006B7F52">
        <w:footnoteRef/>
      </w:r>
      <w:r w:rsidRPr="006B7F52">
        <w:rPr>
          <w:rtl/>
        </w:rPr>
        <w:t xml:space="preserve"> </w:t>
      </w:r>
      <w:hyperlink r:id="rId4" w:history="1">
        <w:r w:rsidRPr="006B7F52">
          <w:rPr>
            <w:rStyle w:val="ac"/>
            <w:rFonts w:hint="eastAsia"/>
            <w:rtl/>
          </w:rPr>
          <w:t>شرائع</w:t>
        </w:r>
        <w:r w:rsidRPr="006B7F52">
          <w:rPr>
            <w:rStyle w:val="ac"/>
            <w:rtl/>
          </w:rPr>
          <w:t xml:space="preserve"> الإسلام، جعفر بن الحسن بن </w:t>
        </w:r>
        <w:r w:rsidRPr="006B7F52">
          <w:rPr>
            <w:rStyle w:val="ac"/>
            <w:rFonts w:hint="cs"/>
            <w:rtl/>
          </w:rPr>
          <w:t>ی</w:t>
        </w:r>
        <w:r w:rsidRPr="006B7F52">
          <w:rPr>
            <w:rStyle w:val="ac"/>
            <w:rFonts w:hint="eastAsia"/>
            <w:rtl/>
          </w:rPr>
          <w:t>ح</w:t>
        </w:r>
        <w:r w:rsidRPr="006B7F52">
          <w:rPr>
            <w:rStyle w:val="ac"/>
            <w:rFonts w:hint="cs"/>
            <w:rtl/>
          </w:rPr>
          <w:t>یی</w:t>
        </w:r>
        <w:r w:rsidRPr="006B7F52">
          <w:rPr>
            <w:rStyle w:val="ac"/>
            <w:rtl/>
          </w:rPr>
          <w:t xml:space="preserve"> (المحقق الحلّ</w:t>
        </w:r>
        <w:r w:rsidRPr="006B7F52">
          <w:rPr>
            <w:rStyle w:val="ac"/>
            <w:rFonts w:hint="cs"/>
            <w:rtl/>
          </w:rPr>
          <w:t>ی</w:t>
        </w:r>
        <w:r w:rsidRPr="006B7F52">
          <w:rPr>
            <w:rStyle w:val="ac"/>
            <w:rtl/>
          </w:rPr>
          <w:t>)، ج4، ص123.</w:t>
        </w:r>
      </w:hyperlink>
    </w:p>
  </w:footnote>
  <w:footnote w:id="7">
    <w:p w:rsidR="00D10497" w:rsidRDefault="00D10497" w:rsidP="00D10497">
      <w:pPr>
        <w:pStyle w:val="a9"/>
      </w:pPr>
      <w:r>
        <w:rPr>
          <w:rStyle w:val="ab"/>
        </w:rPr>
        <w:footnoteRef/>
      </w:r>
      <w:r>
        <w:rPr>
          <w:rtl/>
        </w:rPr>
        <w:t xml:space="preserve"> </w:t>
      </w:r>
      <w:r>
        <w:rPr>
          <w:rFonts w:hint="cs"/>
          <w:rtl/>
        </w:rPr>
        <w:t>اسس القضاء و الشهاده، ج</w:t>
      </w:r>
      <w:bookmarkStart w:id="13" w:name="_GoBack"/>
      <w:bookmarkEnd w:id="13"/>
      <w:r>
        <w:rPr>
          <w:rFonts w:hint="cs"/>
          <w:rtl/>
        </w:rPr>
        <w:t>واد تبریزی، ج1، ص 524. «</w:t>
      </w:r>
      <w:r w:rsidRPr="00084233">
        <w:rPr>
          <w:rtl/>
        </w:rPr>
        <w:t>أقول: ما يذكر في المقام من عدم سماع بينة الملك المستندة إلى اليد</w:t>
      </w:r>
      <w:r w:rsidRPr="00C72715">
        <w:rPr>
          <w:rtl/>
        </w:rPr>
        <w:t xml:space="preserve"> المراد مقام الترافع و التنازع، و أمّا في غير ذلك، كما إذا أراد إنسان شراء متاع من آخر، فالقول بأنّ ذا اليد مالكه جائز بلا اشكال</w:t>
      </w:r>
      <w:r>
        <w:rPr>
          <w:rFonts w:hint="cs"/>
          <w:rtl/>
        </w:rPr>
        <w:t>»</w:t>
      </w:r>
    </w:p>
  </w:footnote>
  <w:footnote w:id="8">
    <w:p w:rsidR="00D10497" w:rsidRPr="00D97C9A" w:rsidRDefault="00D10497" w:rsidP="00D10497">
      <w:pPr>
        <w:pStyle w:val="a9"/>
      </w:pPr>
      <w:r w:rsidRPr="00D97C9A">
        <w:footnoteRef/>
      </w:r>
      <w:r w:rsidRPr="00D97C9A">
        <w:rPr>
          <w:rtl/>
        </w:rPr>
        <w:t xml:space="preserve"> </w:t>
      </w:r>
      <w:hyperlink r:id="rId5" w:history="1">
        <w:r w:rsidRPr="00D97C9A">
          <w:rPr>
            <w:rStyle w:val="ac"/>
            <w:rtl/>
          </w:rPr>
          <w:t>فرائد الاصول، ش</w:t>
        </w:r>
        <w:r w:rsidRPr="00D97C9A">
          <w:rPr>
            <w:rStyle w:val="ac"/>
            <w:rFonts w:hint="cs"/>
            <w:rtl/>
          </w:rPr>
          <w:t>ی</w:t>
        </w:r>
        <w:r w:rsidRPr="00D97C9A">
          <w:rPr>
            <w:rStyle w:val="ac"/>
            <w:rFonts w:hint="eastAsia"/>
            <w:rtl/>
          </w:rPr>
          <w:t>خ</w:t>
        </w:r>
        <w:r w:rsidRPr="00D97C9A">
          <w:rPr>
            <w:rStyle w:val="ac"/>
            <w:rtl/>
          </w:rPr>
          <w:t xml:space="preserve"> مرتض</w:t>
        </w:r>
        <w:r w:rsidRPr="00D97C9A">
          <w:rPr>
            <w:rStyle w:val="ac"/>
            <w:rFonts w:hint="cs"/>
            <w:rtl/>
          </w:rPr>
          <w:t>ی</w:t>
        </w:r>
        <w:r w:rsidRPr="00D97C9A">
          <w:rPr>
            <w:rStyle w:val="ac"/>
            <w:rtl/>
          </w:rPr>
          <w:t xml:space="preserve"> انصار</w:t>
        </w:r>
        <w:r w:rsidRPr="00D97C9A">
          <w:rPr>
            <w:rStyle w:val="ac"/>
            <w:rFonts w:hint="cs"/>
            <w:rtl/>
          </w:rPr>
          <w:t>ی</w:t>
        </w:r>
        <w:r w:rsidRPr="00D97C9A">
          <w:rPr>
            <w:rStyle w:val="ac"/>
            <w:rFonts w:hint="eastAsia"/>
            <w:rtl/>
          </w:rPr>
          <w:t>،</w:t>
        </w:r>
        <w:r w:rsidRPr="00D97C9A">
          <w:rPr>
            <w:rStyle w:val="ac"/>
            <w:rtl/>
          </w:rPr>
          <w:t xml:space="preserve"> ج2، ص29.</w:t>
        </w:r>
      </w:hyperlink>
    </w:p>
  </w:footnote>
  <w:footnote w:id="9">
    <w:p w:rsidR="00D10497" w:rsidRPr="00367642" w:rsidRDefault="00D10497" w:rsidP="00D10497">
      <w:pPr>
        <w:pStyle w:val="a9"/>
      </w:pPr>
      <w:r w:rsidRPr="00367642">
        <w:footnoteRef/>
      </w:r>
      <w:r w:rsidRPr="00367642">
        <w:rPr>
          <w:rtl/>
        </w:rPr>
        <w:t xml:space="preserve"> </w:t>
      </w:r>
      <w:hyperlink r:id="rId6" w:history="1">
        <w:r w:rsidRPr="00367642">
          <w:rPr>
            <w:rStyle w:val="ac"/>
            <w:rtl/>
          </w:rPr>
          <w:t>المحاسن، احمد بن محمد بن خالد برق</w:t>
        </w:r>
        <w:r w:rsidRPr="00367642">
          <w:rPr>
            <w:rStyle w:val="ac"/>
            <w:rFonts w:hint="cs"/>
            <w:rtl/>
          </w:rPr>
          <w:t>ی</w:t>
        </w:r>
        <w:r w:rsidRPr="00367642">
          <w:rPr>
            <w:rStyle w:val="ac"/>
            <w:rFonts w:hint="eastAsia"/>
            <w:rtl/>
          </w:rPr>
          <w:t>،</w:t>
        </w:r>
        <w:r w:rsidRPr="00367642">
          <w:rPr>
            <w:rStyle w:val="ac"/>
            <w:rtl/>
          </w:rPr>
          <w:t xml:space="preserve"> ج2، ص339.</w:t>
        </w:r>
      </w:hyperlink>
    </w:p>
  </w:footnote>
  <w:footnote w:id="10">
    <w:p w:rsidR="00D10497" w:rsidRPr="00367642" w:rsidRDefault="00D10497" w:rsidP="00D10497">
      <w:pPr>
        <w:pStyle w:val="a9"/>
      </w:pPr>
      <w:r w:rsidRPr="00367642">
        <w:footnoteRef/>
      </w:r>
      <w:r w:rsidRPr="00367642">
        <w:rPr>
          <w:rtl/>
        </w:rPr>
        <w:t xml:space="preserve"> </w:t>
      </w:r>
      <w:hyperlink r:id="rId7" w:history="1">
        <w:r w:rsidRPr="00367642">
          <w:rPr>
            <w:rStyle w:val="ac"/>
            <w:rFonts w:hint="eastAsia"/>
            <w:rtl/>
          </w:rPr>
          <w:t>وسائل</w:t>
        </w:r>
        <w:r w:rsidRPr="00367642">
          <w:rPr>
            <w:rStyle w:val="ac"/>
            <w:rtl/>
          </w:rPr>
          <w:t xml:space="preserve"> الش</w:t>
        </w:r>
        <w:r w:rsidRPr="00367642">
          <w:rPr>
            <w:rStyle w:val="ac"/>
            <w:rFonts w:hint="cs"/>
            <w:rtl/>
          </w:rPr>
          <w:t>ی</w:t>
        </w:r>
        <w:r w:rsidRPr="00367642">
          <w:rPr>
            <w:rStyle w:val="ac"/>
            <w:rFonts w:hint="eastAsia"/>
            <w:rtl/>
          </w:rPr>
          <w:t>عة،</w:t>
        </w:r>
        <w:r w:rsidRPr="00367642">
          <w:rPr>
            <w:rStyle w:val="ac"/>
            <w:rtl/>
          </w:rPr>
          <w:t xml:space="preserve"> الش</w:t>
        </w:r>
        <w:r w:rsidRPr="00367642">
          <w:rPr>
            <w:rStyle w:val="ac"/>
            <w:rFonts w:hint="cs"/>
            <w:rtl/>
          </w:rPr>
          <w:t>ی</w:t>
        </w:r>
        <w:r w:rsidRPr="00367642">
          <w:rPr>
            <w:rStyle w:val="ac"/>
            <w:rFonts w:hint="eastAsia"/>
            <w:rtl/>
          </w:rPr>
          <w:t>خ</w:t>
        </w:r>
        <w:r w:rsidRPr="00367642">
          <w:rPr>
            <w:rStyle w:val="ac"/>
            <w:rtl/>
          </w:rPr>
          <w:t xml:space="preserve"> الحر العاملي، ج26، ص216، أبواب مِيرَاثِ الْأَزْوَاج‏، باب8، ح3، ط آل البيت.</w:t>
        </w:r>
      </w:hyperlink>
    </w:p>
  </w:footnote>
  <w:footnote w:id="11">
    <w:p w:rsidR="00D10497" w:rsidRPr="005A270C" w:rsidRDefault="00D10497" w:rsidP="00D10497">
      <w:pPr>
        <w:pStyle w:val="a9"/>
      </w:pPr>
      <w:r w:rsidRPr="005A270C">
        <w:footnoteRef/>
      </w:r>
      <w:r w:rsidRPr="005A270C">
        <w:rPr>
          <w:rtl/>
        </w:rPr>
        <w:t xml:space="preserve"> </w:t>
      </w:r>
      <w:hyperlink r:id="rId8" w:history="1">
        <w:r w:rsidRPr="005A270C">
          <w:rPr>
            <w:rStyle w:val="ac"/>
            <w:rtl/>
          </w:rPr>
          <w:t>مباحث‌ الأصول (تقر</w:t>
        </w:r>
        <w:r w:rsidRPr="005A270C">
          <w:rPr>
            <w:rStyle w:val="ac"/>
            <w:rFonts w:hint="cs"/>
            <w:rtl/>
          </w:rPr>
          <w:t>ی</w:t>
        </w:r>
        <w:r w:rsidRPr="005A270C">
          <w:rPr>
            <w:rStyle w:val="ac"/>
            <w:rFonts w:hint="eastAsia"/>
            <w:rtl/>
          </w:rPr>
          <w:t>ر</w:t>
        </w:r>
        <w:r w:rsidRPr="005A270C">
          <w:rPr>
            <w:rStyle w:val="ac"/>
            <w:rtl/>
          </w:rPr>
          <w:t xml:space="preserve"> حائر</w:t>
        </w:r>
        <w:r w:rsidRPr="005A270C">
          <w:rPr>
            <w:rStyle w:val="ac"/>
            <w:rFonts w:hint="cs"/>
            <w:rtl/>
          </w:rPr>
          <w:t>ی</w:t>
        </w:r>
        <w:r w:rsidRPr="005A270C">
          <w:rPr>
            <w:rStyle w:val="ac"/>
            <w:rtl/>
          </w:rPr>
          <w:t>)، الس</w:t>
        </w:r>
        <w:r w:rsidRPr="005A270C">
          <w:rPr>
            <w:rStyle w:val="ac"/>
            <w:rFonts w:hint="cs"/>
            <w:rtl/>
          </w:rPr>
          <w:t>ی</w:t>
        </w:r>
        <w:r w:rsidRPr="005A270C">
          <w:rPr>
            <w:rStyle w:val="ac"/>
            <w:rFonts w:hint="eastAsia"/>
            <w:rtl/>
          </w:rPr>
          <w:t>د</w:t>
        </w:r>
        <w:r w:rsidRPr="005A270C">
          <w:rPr>
            <w:rStyle w:val="ac"/>
            <w:rtl/>
          </w:rPr>
          <w:t xml:space="preserve"> محمد باقر الصدر، ج3، ص238.</w:t>
        </w:r>
      </w:hyperlink>
    </w:p>
  </w:footnote>
  <w:footnote w:id="12">
    <w:p w:rsidR="00D10497" w:rsidRPr="00F920BB" w:rsidRDefault="00D10497" w:rsidP="00D10497">
      <w:pPr>
        <w:pStyle w:val="a9"/>
      </w:pPr>
      <w:r w:rsidRPr="00F920BB">
        <w:footnoteRef/>
      </w:r>
      <w:r w:rsidRPr="00F920BB">
        <w:rPr>
          <w:rtl/>
        </w:rPr>
        <w:t xml:space="preserve"> </w:t>
      </w:r>
      <w:hyperlink r:id="rId9" w:history="1">
        <w:r w:rsidRPr="00F920BB">
          <w:rPr>
            <w:rStyle w:val="ac"/>
            <w:rtl/>
          </w:rPr>
          <w:t>القضاء ف</w:t>
        </w:r>
        <w:r w:rsidRPr="00F920BB">
          <w:rPr>
            <w:rStyle w:val="ac"/>
            <w:rFonts w:hint="cs"/>
            <w:rtl/>
          </w:rPr>
          <w:t>ی</w:t>
        </w:r>
        <w:r w:rsidRPr="00F920BB">
          <w:rPr>
            <w:rStyle w:val="ac"/>
            <w:rtl/>
          </w:rPr>
          <w:t xml:space="preserve"> الفقه الاسلام</w:t>
        </w:r>
        <w:r w:rsidRPr="00F920BB">
          <w:rPr>
            <w:rStyle w:val="ac"/>
            <w:rFonts w:hint="cs"/>
            <w:rtl/>
          </w:rPr>
          <w:t>ی</w:t>
        </w:r>
        <w:r w:rsidRPr="00F920BB">
          <w:rPr>
            <w:rStyle w:val="ac"/>
            <w:rFonts w:hint="eastAsia"/>
            <w:rtl/>
          </w:rPr>
          <w:t>،</w:t>
        </w:r>
        <w:r w:rsidRPr="00F920BB">
          <w:rPr>
            <w:rStyle w:val="ac"/>
            <w:rtl/>
          </w:rPr>
          <w:t xml:space="preserve"> الس</w:t>
        </w:r>
        <w:r w:rsidRPr="00F920BB">
          <w:rPr>
            <w:rStyle w:val="ac"/>
            <w:rFonts w:hint="cs"/>
            <w:rtl/>
          </w:rPr>
          <w:t>ی</w:t>
        </w:r>
        <w:r w:rsidRPr="00F920BB">
          <w:rPr>
            <w:rStyle w:val="ac"/>
            <w:rFonts w:hint="eastAsia"/>
            <w:rtl/>
          </w:rPr>
          <w:t>د</w:t>
        </w:r>
        <w:r w:rsidRPr="00F920BB">
          <w:rPr>
            <w:rStyle w:val="ac"/>
            <w:rtl/>
          </w:rPr>
          <w:t xml:space="preserve"> کاظم الحائر</w:t>
        </w:r>
        <w:r w:rsidRPr="00F920BB">
          <w:rPr>
            <w:rStyle w:val="ac"/>
            <w:rFonts w:hint="cs"/>
            <w:rtl/>
          </w:rPr>
          <w:t>ی</w:t>
        </w:r>
        <w:r w:rsidRPr="00F920BB">
          <w:rPr>
            <w:rStyle w:val="ac"/>
            <w:rFonts w:hint="eastAsia"/>
            <w:rtl/>
          </w:rPr>
          <w:t>،</w:t>
        </w:r>
        <w:r w:rsidRPr="00F920BB">
          <w:rPr>
            <w:rStyle w:val="ac"/>
            <w:rtl/>
          </w:rPr>
          <w:t xml:space="preserve"> ج1، ص52.</w:t>
        </w:r>
      </w:hyperlink>
    </w:p>
  </w:footnote>
  <w:footnote w:id="13">
    <w:p w:rsidR="00A92E66" w:rsidRDefault="00A92E66">
      <w:pPr>
        <w:pStyle w:val="a9"/>
        <w:rPr>
          <w:rFonts w:hint="cs"/>
        </w:rPr>
      </w:pPr>
      <w:r>
        <w:rPr>
          <w:rStyle w:val="ab"/>
        </w:rPr>
        <w:footnoteRef/>
      </w:r>
      <w:r>
        <w:rPr>
          <w:rtl/>
        </w:rPr>
        <w:t xml:space="preserve"> </w:t>
      </w:r>
      <w:r>
        <w:rPr>
          <w:rFonts w:hint="cs"/>
          <w:rtl/>
        </w:rPr>
        <w:t>-</w:t>
      </w:r>
      <w:proofErr w:type="spellStart"/>
      <w:r>
        <w:rPr>
          <w:rFonts w:hint="cs"/>
          <w:rtl/>
        </w:rPr>
        <w:t>معجم</w:t>
      </w:r>
      <w:proofErr w:type="spellEnd"/>
      <w:r>
        <w:rPr>
          <w:rFonts w:hint="cs"/>
          <w:rtl/>
        </w:rPr>
        <w:t xml:space="preserve"> </w:t>
      </w:r>
      <w:proofErr w:type="spellStart"/>
      <w:r>
        <w:rPr>
          <w:rFonts w:hint="cs"/>
          <w:rtl/>
        </w:rPr>
        <w:t>الرجال</w:t>
      </w:r>
      <w:proofErr w:type="spellEnd"/>
      <w:r>
        <w:rPr>
          <w:rFonts w:hint="cs"/>
          <w:rtl/>
        </w:rPr>
        <w:t xml:space="preserve"> ج1ص53</w:t>
      </w:r>
    </w:p>
  </w:footnote>
  <w:footnote w:id="14">
    <w:p w:rsidR="00A92E66" w:rsidRDefault="00A92E66">
      <w:pPr>
        <w:pStyle w:val="a9"/>
        <w:rPr>
          <w:rFonts w:hint="cs"/>
        </w:rPr>
      </w:pPr>
      <w:r>
        <w:rPr>
          <w:rStyle w:val="ab"/>
        </w:rPr>
        <w:footnoteRef/>
      </w:r>
      <w:r>
        <w:rPr>
          <w:rtl/>
        </w:rPr>
        <w:t xml:space="preserve"> </w:t>
      </w:r>
      <w:r>
        <w:rPr>
          <w:rFonts w:hint="cs"/>
          <w:rtl/>
        </w:rPr>
        <w:t xml:space="preserve">-مستند </w:t>
      </w:r>
      <w:proofErr w:type="spellStart"/>
      <w:r>
        <w:rPr>
          <w:rFonts w:hint="cs"/>
          <w:rtl/>
        </w:rPr>
        <w:t>العروة</w:t>
      </w:r>
      <w:proofErr w:type="spellEnd"/>
      <w:r>
        <w:rPr>
          <w:rFonts w:hint="cs"/>
          <w:rtl/>
        </w:rPr>
        <w:t xml:space="preserve"> ج1ص191</w:t>
      </w:r>
    </w:p>
  </w:footnote>
  <w:footnote w:id="15">
    <w:p w:rsidR="00A92E66" w:rsidRDefault="00A92E66">
      <w:pPr>
        <w:pStyle w:val="a9"/>
        <w:rPr>
          <w:rFonts w:hint="cs"/>
        </w:rPr>
      </w:pPr>
      <w:r>
        <w:rPr>
          <w:rStyle w:val="ab"/>
        </w:rPr>
        <w:footnoteRef/>
      </w:r>
      <w:r>
        <w:rPr>
          <w:rtl/>
        </w:rPr>
        <w:t xml:space="preserve"> </w:t>
      </w:r>
      <w:r>
        <w:rPr>
          <w:rFonts w:hint="cs"/>
          <w:rtl/>
        </w:rPr>
        <w:t>-</w:t>
      </w:r>
      <w:proofErr w:type="spellStart"/>
      <w:r>
        <w:rPr>
          <w:rFonts w:hint="cs"/>
          <w:rtl/>
        </w:rPr>
        <w:t>موسوعة</w:t>
      </w:r>
      <w:proofErr w:type="spellEnd"/>
      <w:r>
        <w:rPr>
          <w:rFonts w:hint="cs"/>
          <w:rtl/>
        </w:rPr>
        <w:t xml:space="preserve"> </w:t>
      </w:r>
      <w:proofErr w:type="spellStart"/>
      <w:r>
        <w:rPr>
          <w:rFonts w:hint="cs"/>
          <w:rtl/>
        </w:rPr>
        <w:t>الامام</w:t>
      </w:r>
      <w:proofErr w:type="spellEnd"/>
      <w:r>
        <w:rPr>
          <w:rFonts w:hint="cs"/>
          <w:rtl/>
        </w:rPr>
        <w:t xml:space="preserve"> </w:t>
      </w:r>
      <w:proofErr w:type="spellStart"/>
      <w:r>
        <w:rPr>
          <w:rFonts w:hint="cs"/>
          <w:rtl/>
        </w:rPr>
        <w:t>الخوئي</w:t>
      </w:r>
      <w:proofErr w:type="spellEnd"/>
      <w:r>
        <w:rPr>
          <w:rFonts w:hint="cs"/>
          <w:rtl/>
        </w:rPr>
        <w:t xml:space="preserve"> ج32 ص236</w:t>
      </w:r>
    </w:p>
  </w:footnote>
  <w:footnote w:id="16">
    <w:p w:rsidR="00D10497" w:rsidRDefault="00D10497" w:rsidP="00D10497">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15" w:rsidRPr="001D2E9A" w:rsidRDefault="00C7271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0" w:name="BokNum"/>
    <w:bookmarkEnd w:id="30"/>
    <w:r>
      <w:rPr>
        <w:b/>
        <w:bCs/>
        <w:sz w:val="20"/>
        <w:szCs w:val="24"/>
        <w:rtl/>
      </w:rPr>
      <w:t>071</w:t>
    </w:r>
    <w:r>
      <w:rPr>
        <w:rFonts w:hint="cs"/>
        <w:b/>
        <w:bCs/>
        <w:sz w:val="20"/>
        <w:szCs w:val="24"/>
        <w:rtl/>
      </w:rPr>
      <w:tab/>
    </w:r>
    <w:r w:rsidRPr="00C32A7E">
      <w:rPr>
        <w:rFonts w:hint="cs"/>
        <w:b/>
        <w:bCs/>
        <w:color w:val="632423" w:themeColor="accent2" w:themeShade="80"/>
        <w:sz w:val="20"/>
        <w:szCs w:val="24"/>
        <w:rtl/>
      </w:rPr>
      <w:t xml:space="preserve">درس خارج </w:t>
    </w:r>
    <w:bookmarkStart w:id="31" w:name="Bokdars"/>
    <w:bookmarkEnd w:id="31"/>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32" w:name="Bokostad"/>
    <w:bookmarkEnd w:id="32"/>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3" w:name="BokTarikh"/>
    <w:bookmarkEnd w:id="33"/>
    <w:r>
      <w:rPr>
        <w:sz w:val="24"/>
        <w:szCs w:val="24"/>
        <w:rtl/>
      </w:rPr>
      <w:t>8 /11 /1397</w:t>
    </w:r>
  </w:p>
  <w:p w:rsidR="00C72715" w:rsidRPr="00F16B53" w:rsidRDefault="00C72715" w:rsidP="004A2DB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4" w:name="BokSabj"/>
    <w:bookmarkEnd w:id="34"/>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5" w:name="Bokmoqarer"/>
    <w:bookmarkEnd w:id="35"/>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6" w:name="BokSabj2"/>
    <w:bookmarkEnd w:id="36"/>
    <w:r>
      <w:rPr>
        <w:rFonts w:hint="cs"/>
        <w:sz w:val="24"/>
        <w:szCs w:val="24"/>
        <w:rtl/>
      </w:rPr>
      <w:t>دلیل، روایت حفص و یونس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5C7"/>
    <w:rsid w:val="000066E2"/>
    <w:rsid w:val="000072A3"/>
    <w:rsid w:val="000072AA"/>
    <w:rsid w:val="00025777"/>
    <w:rsid w:val="00025B70"/>
    <w:rsid w:val="000353D7"/>
    <w:rsid w:val="00055496"/>
    <w:rsid w:val="00080A41"/>
    <w:rsid w:val="0008299B"/>
    <w:rsid w:val="00084233"/>
    <w:rsid w:val="000865C9"/>
    <w:rsid w:val="000913AA"/>
    <w:rsid w:val="00094847"/>
    <w:rsid w:val="00096C63"/>
    <w:rsid w:val="000A0DDA"/>
    <w:rsid w:val="000B5DB5"/>
    <w:rsid w:val="000B7F4D"/>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0E17"/>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06D0A"/>
    <w:rsid w:val="00211632"/>
    <w:rsid w:val="0021630D"/>
    <w:rsid w:val="00232E0B"/>
    <w:rsid w:val="0024121B"/>
    <w:rsid w:val="00247D2F"/>
    <w:rsid w:val="00256560"/>
    <w:rsid w:val="0026329A"/>
    <w:rsid w:val="00267E3A"/>
    <w:rsid w:val="00270468"/>
    <w:rsid w:val="0027605E"/>
    <w:rsid w:val="00281E00"/>
    <w:rsid w:val="00294A52"/>
    <w:rsid w:val="002B575F"/>
    <w:rsid w:val="002B729B"/>
    <w:rsid w:val="002C23B5"/>
    <w:rsid w:val="002C53A2"/>
    <w:rsid w:val="002D0040"/>
    <w:rsid w:val="002D2FA8"/>
    <w:rsid w:val="002E220F"/>
    <w:rsid w:val="002F3855"/>
    <w:rsid w:val="00307311"/>
    <w:rsid w:val="0032100F"/>
    <w:rsid w:val="0033402C"/>
    <w:rsid w:val="00340521"/>
    <w:rsid w:val="00345C73"/>
    <w:rsid w:val="00354A99"/>
    <w:rsid w:val="00360311"/>
    <w:rsid w:val="00361922"/>
    <w:rsid w:val="00367642"/>
    <w:rsid w:val="0037339B"/>
    <w:rsid w:val="00386C11"/>
    <w:rsid w:val="00387340"/>
    <w:rsid w:val="00397466"/>
    <w:rsid w:val="003A6148"/>
    <w:rsid w:val="003C33F6"/>
    <w:rsid w:val="003C3D2E"/>
    <w:rsid w:val="003C43A5"/>
    <w:rsid w:val="003E1C5C"/>
    <w:rsid w:val="003E6650"/>
    <w:rsid w:val="003F5B46"/>
    <w:rsid w:val="00401363"/>
    <w:rsid w:val="00402E47"/>
    <w:rsid w:val="00425015"/>
    <w:rsid w:val="00430994"/>
    <w:rsid w:val="00441B6D"/>
    <w:rsid w:val="00442E40"/>
    <w:rsid w:val="004556EF"/>
    <w:rsid w:val="00462B07"/>
    <w:rsid w:val="00465BD2"/>
    <w:rsid w:val="004715C8"/>
    <w:rsid w:val="00481C31"/>
    <w:rsid w:val="00482FC1"/>
    <w:rsid w:val="00483027"/>
    <w:rsid w:val="004871AA"/>
    <w:rsid w:val="00490A3A"/>
    <w:rsid w:val="004918D7"/>
    <w:rsid w:val="004926E1"/>
    <w:rsid w:val="00497B7D"/>
    <w:rsid w:val="004A2DBD"/>
    <w:rsid w:val="004A2FEA"/>
    <w:rsid w:val="004B17CB"/>
    <w:rsid w:val="004D2DD7"/>
    <w:rsid w:val="004D75C5"/>
    <w:rsid w:val="004E2186"/>
    <w:rsid w:val="004E66FB"/>
    <w:rsid w:val="004F470A"/>
    <w:rsid w:val="004F4C59"/>
    <w:rsid w:val="004F6ED0"/>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70C"/>
    <w:rsid w:val="005A2E26"/>
    <w:rsid w:val="005B1DCD"/>
    <w:rsid w:val="005B7BCA"/>
    <w:rsid w:val="005C0DAE"/>
    <w:rsid w:val="005C188E"/>
    <w:rsid w:val="005D2349"/>
    <w:rsid w:val="005E0857"/>
    <w:rsid w:val="005E1B60"/>
    <w:rsid w:val="005E5507"/>
    <w:rsid w:val="005E607B"/>
    <w:rsid w:val="005F0A8D"/>
    <w:rsid w:val="00601229"/>
    <w:rsid w:val="00603B67"/>
    <w:rsid w:val="006162A2"/>
    <w:rsid w:val="006240DA"/>
    <w:rsid w:val="0063256E"/>
    <w:rsid w:val="00633F04"/>
    <w:rsid w:val="00635219"/>
    <w:rsid w:val="00635EC0"/>
    <w:rsid w:val="00635F9A"/>
    <w:rsid w:val="00640B58"/>
    <w:rsid w:val="00651B02"/>
    <w:rsid w:val="00651B19"/>
    <w:rsid w:val="00660A29"/>
    <w:rsid w:val="00695519"/>
    <w:rsid w:val="006A4134"/>
    <w:rsid w:val="006A5DDA"/>
    <w:rsid w:val="006A6701"/>
    <w:rsid w:val="006B21F4"/>
    <w:rsid w:val="006B3753"/>
    <w:rsid w:val="006B7AD6"/>
    <w:rsid w:val="006B7F52"/>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5FD4"/>
    <w:rsid w:val="00762452"/>
    <w:rsid w:val="007639E0"/>
    <w:rsid w:val="00775507"/>
    <w:rsid w:val="00783473"/>
    <w:rsid w:val="00785314"/>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6F6B"/>
    <w:rsid w:val="00830A1E"/>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2D8D"/>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62E6"/>
    <w:rsid w:val="0096760B"/>
    <w:rsid w:val="0096778A"/>
    <w:rsid w:val="00977656"/>
    <w:rsid w:val="009846A7"/>
    <w:rsid w:val="0098794D"/>
    <w:rsid w:val="0099497B"/>
    <w:rsid w:val="009A43BA"/>
    <w:rsid w:val="009B0D05"/>
    <w:rsid w:val="009B4CA6"/>
    <w:rsid w:val="009B79F8"/>
    <w:rsid w:val="009C66D5"/>
    <w:rsid w:val="009D13FD"/>
    <w:rsid w:val="009D266A"/>
    <w:rsid w:val="009F5599"/>
    <w:rsid w:val="009F7E07"/>
    <w:rsid w:val="00A01522"/>
    <w:rsid w:val="00A045CA"/>
    <w:rsid w:val="00A10A11"/>
    <w:rsid w:val="00A13C6A"/>
    <w:rsid w:val="00A158B1"/>
    <w:rsid w:val="00A17B09"/>
    <w:rsid w:val="00A457C6"/>
    <w:rsid w:val="00A46AD0"/>
    <w:rsid w:val="00A47063"/>
    <w:rsid w:val="00A473A8"/>
    <w:rsid w:val="00A513F0"/>
    <w:rsid w:val="00A61AC8"/>
    <w:rsid w:val="00A6366F"/>
    <w:rsid w:val="00A65D4C"/>
    <w:rsid w:val="00A66DF9"/>
    <w:rsid w:val="00A70512"/>
    <w:rsid w:val="00A72A9E"/>
    <w:rsid w:val="00A92E66"/>
    <w:rsid w:val="00AA1F60"/>
    <w:rsid w:val="00AA3DB8"/>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A3F80"/>
    <w:rsid w:val="00BA67E6"/>
    <w:rsid w:val="00BB61C0"/>
    <w:rsid w:val="00BC716B"/>
    <w:rsid w:val="00BD0E74"/>
    <w:rsid w:val="00BD3740"/>
    <w:rsid w:val="00BD5F8C"/>
    <w:rsid w:val="00BE29DD"/>
    <w:rsid w:val="00BF15C7"/>
    <w:rsid w:val="00C066AF"/>
    <w:rsid w:val="00C10E06"/>
    <w:rsid w:val="00C145B8"/>
    <w:rsid w:val="00C2438F"/>
    <w:rsid w:val="00C26233"/>
    <w:rsid w:val="00C31AF0"/>
    <w:rsid w:val="00C32A7E"/>
    <w:rsid w:val="00C34F28"/>
    <w:rsid w:val="00C368DF"/>
    <w:rsid w:val="00C442C5"/>
    <w:rsid w:val="00C57B5C"/>
    <w:rsid w:val="00C57C7C"/>
    <w:rsid w:val="00C61049"/>
    <w:rsid w:val="00C63FFE"/>
    <w:rsid w:val="00C72715"/>
    <w:rsid w:val="00C91EB6"/>
    <w:rsid w:val="00CA10B0"/>
    <w:rsid w:val="00CA2F8E"/>
    <w:rsid w:val="00CA3EE2"/>
    <w:rsid w:val="00CA7FD5"/>
    <w:rsid w:val="00CB3287"/>
    <w:rsid w:val="00CB33E2"/>
    <w:rsid w:val="00CB4E68"/>
    <w:rsid w:val="00CC2733"/>
    <w:rsid w:val="00CC7A64"/>
    <w:rsid w:val="00CD0050"/>
    <w:rsid w:val="00CE284F"/>
    <w:rsid w:val="00CE7481"/>
    <w:rsid w:val="00CF0A8F"/>
    <w:rsid w:val="00D048CE"/>
    <w:rsid w:val="00D0690F"/>
    <w:rsid w:val="00D10497"/>
    <w:rsid w:val="00D10998"/>
    <w:rsid w:val="00D15CBD"/>
    <w:rsid w:val="00D221CB"/>
    <w:rsid w:val="00D23391"/>
    <w:rsid w:val="00D31805"/>
    <w:rsid w:val="00D54C6C"/>
    <w:rsid w:val="00D552B9"/>
    <w:rsid w:val="00D735B2"/>
    <w:rsid w:val="00D74021"/>
    <w:rsid w:val="00D76D01"/>
    <w:rsid w:val="00D922A9"/>
    <w:rsid w:val="00D9394A"/>
    <w:rsid w:val="00D97C9A"/>
    <w:rsid w:val="00DB0CBB"/>
    <w:rsid w:val="00DB67CC"/>
    <w:rsid w:val="00DC3783"/>
    <w:rsid w:val="00DE1070"/>
    <w:rsid w:val="00DF2523"/>
    <w:rsid w:val="00E00219"/>
    <w:rsid w:val="00E0316B"/>
    <w:rsid w:val="00E25E10"/>
    <w:rsid w:val="00E50B41"/>
    <w:rsid w:val="00E5219B"/>
    <w:rsid w:val="00E52D07"/>
    <w:rsid w:val="00E5518B"/>
    <w:rsid w:val="00E609FE"/>
    <w:rsid w:val="00E630BE"/>
    <w:rsid w:val="00E72325"/>
    <w:rsid w:val="00E75920"/>
    <w:rsid w:val="00E80D96"/>
    <w:rsid w:val="00E871FA"/>
    <w:rsid w:val="00E936A4"/>
    <w:rsid w:val="00E954BB"/>
    <w:rsid w:val="00E97380"/>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E78"/>
    <w:rsid w:val="00F60F1F"/>
    <w:rsid w:val="00F64141"/>
    <w:rsid w:val="00F67508"/>
    <w:rsid w:val="00F71FC9"/>
    <w:rsid w:val="00F73B48"/>
    <w:rsid w:val="00F74F51"/>
    <w:rsid w:val="00F842AD"/>
    <w:rsid w:val="00F914EB"/>
    <w:rsid w:val="00F91B85"/>
    <w:rsid w:val="00F920BB"/>
    <w:rsid w:val="00F938E7"/>
    <w:rsid w:val="00FA3B17"/>
    <w:rsid w:val="00FA5E8D"/>
    <w:rsid w:val="00FA5F3D"/>
    <w:rsid w:val="00FB399E"/>
    <w:rsid w:val="00FB7F50"/>
    <w:rsid w:val="00FC2A85"/>
    <w:rsid w:val="00FC40AF"/>
    <w:rsid w:val="00FC73B9"/>
    <w:rsid w:val="00FD0A16"/>
    <w:rsid w:val="00FE3D7D"/>
    <w:rsid w:val="00FE6DCF"/>
    <w:rsid w:val="00FF4C4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F920BB"/>
    <w:rPr>
      <w:color w:val="800080" w:themeColor="followedHyperlink"/>
      <w:u w:val="single"/>
    </w:rPr>
  </w:style>
  <w:style w:type="paragraph" w:styleId="afa">
    <w:name w:val="TOC Heading"/>
    <w:basedOn w:val="1"/>
    <w:next w:val="a0"/>
    <w:uiPriority w:val="39"/>
    <w:semiHidden/>
    <w:unhideWhenUsed/>
    <w:qFormat/>
    <w:rsid w:val="000B7F4D"/>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F920BB"/>
    <w:rPr>
      <w:color w:val="800080" w:themeColor="followedHyperlink"/>
      <w:u w:val="single"/>
    </w:rPr>
  </w:style>
  <w:style w:type="paragraph" w:styleId="afa">
    <w:name w:val="TOC Heading"/>
    <w:basedOn w:val="1"/>
    <w:next w:val="a0"/>
    <w:uiPriority w:val="39"/>
    <w:semiHidden/>
    <w:unhideWhenUsed/>
    <w:qFormat/>
    <w:rsid w:val="000B7F4D"/>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104/3/238/&#1575;&#1604;&#1578;&#1589;&#1585;&#1601;" TargetMode="External"/><Relationship Id="rId3" Type="http://schemas.openxmlformats.org/officeDocument/2006/relationships/hyperlink" Target="http://lib.eshia.ir/10083/6/262/&#1604;&#1593;&#1604;&#1617;&#1607;" TargetMode="External"/><Relationship Id="rId7" Type="http://schemas.openxmlformats.org/officeDocument/2006/relationships/hyperlink" Target="http://lib.eshia.ir/11025/26/216/&#1575;&#1587;&#1578;&#1608;&#1604;&#1740;" TargetMode="External"/><Relationship Id="rId2" Type="http://schemas.openxmlformats.org/officeDocument/2006/relationships/hyperlink" Target="http://lib.eshia.ir/11005/7/387/&#1740;&#1583;&#1740;" TargetMode="External"/><Relationship Id="rId1" Type="http://schemas.openxmlformats.org/officeDocument/2006/relationships/hyperlink" Target="http://lib.eshia.ir/11021/3/51/&#1740;&#1583;&#1740;" TargetMode="External"/><Relationship Id="rId6" Type="http://schemas.openxmlformats.org/officeDocument/2006/relationships/hyperlink" Target="http://lib.eshia.ir/15101/2/339/&#1589;&#1601;&#1608;&#1575;&#1606;" TargetMode="External"/><Relationship Id="rId5" Type="http://schemas.openxmlformats.org/officeDocument/2006/relationships/hyperlink" Target="http://lib.eshia.ir/13056/2/29/&#1589;&#1601;&#1608;&#1575;&#1606;" TargetMode="External"/><Relationship Id="rId4" Type="http://schemas.openxmlformats.org/officeDocument/2006/relationships/hyperlink" Target="http://lib.eshia.ir/71613/4/123/&#1575;&#1604;&#1605;&#1585;&#1608;&#1740;" TargetMode="External"/><Relationship Id="rId9" Type="http://schemas.openxmlformats.org/officeDocument/2006/relationships/hyperlink" Target="http://lib.eshia.ir/10030/1/52/&#1575;&#1587;&#1578;&#1575;&#1584;&#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27EB-1A32-4F74-9DEE-176F6961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1242</TotalTime>
  <Pages>7</Pages>
  <Words>1498</Words>
  <Characters>8543</Characters>
  <Application>Microsoft Office Word</Application>
  <DocSecurity>0</DocSecurity>
  <Lines>71</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10021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33</cp:revision>
  <dcterms:created xsi:type="dcterms:W3CDTF">2019-01-28T12:36:00Z</dcterms:created>
  <dcterms:modified xsi:type="dcterms:W3CDTF">2019-01-31T13:33:00Z</dcterms:modified>
  <cp:contentStatus>ویرایش 2.5</cp:contentStatus>
  <cp:version>2.7</cp:version>
</cp:coreProperties>
</file>