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1C9E">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51BFC" w:rsidRDefault="00F51BFC" w:rsidP="00F51BFC">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523060" w:history="1">
        <w:r w:rsidRPr="004F0496">
          <w:rPr>
            <w:rStyle w:val="ac"/>
            <w:noProof/>
            <w:rtl/>
          </w:rPr>
          <w:t>نت</w:t>
        </w:r>
        <w:r w:rsidRPr="004F0496">
          <w:rPr>
            <w:rStyle w:val="ac"/>
            <w:rFonts w:hint="cs"/>
            <w:noProof/>
            <w:rtl/>
          </w:rPr>
          <w:t>ی</w:t>
        </w:r>
        <w:r w:rsidRPr="004F0496">
          <w:rPr>
            <w:rStyle w:val="ac"/>
            <w:rFonts w:hint="eastAsia"/>
            <w:noProof/>
            <w:rtl/>
          </w:rPr>
          <w:t>جه</w:t>
        </w:r>
        <w:r w:rsidRPr="004F0496">
          <w:rPr>
            <w:rStyle w:val="ac"/>
            <w:noProof/>
            <w:rtl/>
          </w:rPr>
          <w:t xml:space="preserve"> استدلال به روا</w:t>
        </w:r>
        <w:r w:rsidRPr="004F0496">
          <w:rPr>
            <w:rStyle w:val="ac"/>
            <w:rFonts w:hint="cs"/>
            <w:noProof/>
            <w:rtl/>
          </w:rPr>
          <w:t>ی</w:t>
        </w:r>
        <w:r w:rsidRPr="004F0496">
          <w:rPr>
            <w:rStyle w:val="ac"/>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Toc534523060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F51BFC" w:rsidRDefault="00226F23" w:rsidP="00F51BFC">
      <w:pPr>
        <w:pStyle w:val="11"/>
        <w:rPr>
          <w:rFonts w:asciiTheme="minorHAnsi" w:eastAsiaTheme="minorEastAsia" w:hAnsiTheme="minorHAnsi" w:cstheme="minorBidi"/>
          <w:noProof/>
          <w:color w:val="auto"/>
          <w:szCs w:val="22"/>
          <w:rtl/>
          <w:lang w:bidi="ar-SA"/>
        </w:rPr>
      </w:pPr>
      <w:hyperlink w:anchor="_Toc534523061" w:history="1">
        <w:r w:rsidR="00F51BFC" w:rsidRPr="004F0496">
          <w:rPr>
            <w:rStyle w:val="ac"/>
            <w:noProof/>
            <w:rtl/>
          </w:rPr>
          <w:t>وجه چهارم</w:t>
        </w:r>
        <w:r w:rsidR="00F51BFC">
          <w:rPr>
            <w:noProof/>
            <w:webHidden/>
            <w:rtl/>
          </w:rPr>
          <w:tab/>
        </w:r>
        <w:r w:rsidR="00F51BFC">
          <w:rPr>
            <w:noProof/>
            <w:webHidden/>
            <w:rtl/>
          </w:rPr>
          <w:fldChar w:fldCharType="begin"/>
        </w:r>
        <w:r w:rsidR="00F51BFC">
          <w:rPr>
            <w:noProof/>
            <w:webHidden/>
            <w:rtl/>
          </w:rPr>
          <w:instrText xml:space="preserve"> </w:instrText>
        </w:r>
        <w:r w:rsidR="00F51BFC">
          <w:rPr>
            <w:noProof/>
            <w:webHidden/>
          </w:rPr>
          <w:instrText>PAGEREF</w:instrText>
        </w:r>
        <w:r w:rsidR="00F51BFC">
          <w:rPr>
            <w:noProof/>
            <w:webHidden/>
            <w:rtl/>
          </w:rPr>
          <w:instrText xml:space="preserve"> _</w:instrText>
        </w:r>
        <w:r w:rsidR="00F51BFC">
          <w:rPr>
            <w:noProof/>
            <w:webHidden/>
          </w:rPr>
          <w:instrText>Toc534523061 \h</w:instrText>
        </w:r>
        <w:r w:rsidR="00F51BFC">
          <w:rPr>
            <w:noProof/>
            <w:webHidden/>
            <w:rtl/>
          </w:rPr>
          <w:instrText xml:space="preserve"> </w:instrText>
        </w:r>
        <w:r w:rsidR="00F51BFC">
          <w:rPr>
            <w:noProof/>
            <w:webHidden/>
            <w:rtl/>
          </w:rPr>
        </w:r>
        <w:r w:rsidR="00F51BFC">
          <w:rPr>
            <w:noProof/>
            <w:webHidden/>
            <w:rtl/>
          </w:rPr>
          <w:fldChar w:fldCharType="separate"/>
        </w:r>
        <w:r w:rsidR="00F51BFC">
          <w:rPr>
            <w:noProof/>
            <w:webHidden/>
            <w:rtl/>
          </w:rPr>
          <w:t>1</w:t>
        </w:r>
        <w:r w:rsidR="00F51BFC">
          <w:rPr>
            <w:noProof/>
            <w:webHidden/>
            <w:rtl/>
          </w:rPr>
          <w:fldChar w:fldCharType="end"/>
        </w:r>
      </w:hyperlink>
    </w:p>
    <w:p w:rsidR="00F51BFC" w:rsidRDefault="00226F23" w:rsidP="00F51BFC">
      <w:pPr>
        <w:pStyle w:val="22"/>
        <w:tabs>
          <w:tab w:val="right" w:leader="dot" w:pos="10194"/>
        </w:tabs>
        <w:rPr>
          <w:rFonts w:asciiTheme="minorHAnsi" w:eastAsiaTheme="minorEastAsia" w:hAnsiTheme="minorHAnsi" w:cstheme="minorBidi"/>
          <w:bCs w:val="0"/>
          <w:noProof/>
          <w:color w:val="auto"/>
          <w:szCs w:val="22"/>
          <w:rtl/>
          <w:lang w:bidi="ar-SA"/>
        </w:rPr>
      </w:pPr>
      <w:hyperlink w:anchor="_Toc534523062" w:history="1">
        <w:r w:rsidR="00F51BFC" w:rsidRPr="004F0496">
          <w:rPr>
            <w:rStyle w:val="ac"/>
            <w:noProof/>
            <w:rtl/>
          </w:rPr>
          <w:t>تقر</w:t>
        </w:r>
        <w:r w:rsidR="00F51BFC" w:rsidRPr="004F0496">
          <w:rPr>
            <w:rStyle w:val="ac"/>
            <w:rFonts w:hint="cs"/>
            <w:noProof/>
            <w:rtl/>
          </w:rPr>
          <w:t>ی</w:t>
        </w:r>
        <w:r w:rsidR="00F51BFC" w:rsidRPr="004F0496">
          <w:rPr>
            <w:rStyle w:val="ac"/>
            <w:rFonts w:hint="eastAsia"/>
            <w:noProof/>
            <w:rtl/>
          </w:rPr>
          <w:t>ب</w:t>
        </w:r>
        <w:r w:rsidR="00F51BFC" w:rsidRPr="004F0496">
          <w:rPr>
            <w:rStyle w:val="ac"/>
            <w:noProof/>
            <w:rtl/>
          </w:rPr>
          <w:t xml:space="preserve"> روائ</w:t>
        </w:r>
        <w:r w:rsidR="00F51BFC" w:rsidRPr="004F0496">
          <w:rPr>
            <w:rStyle w:val="ac"/>
            <w:rFonts w:hint="cs"/>
            <w:noProof/>
            <w:rtl/>
          </w:rPr>
          <w:t>ی</w:t>
        </w:r>
        <w:r w:rsidR="00F51BFC" w:rsidRPr="004F0496">
          <w:rPr>
            <w:rStyle w:val="ac"/>
            <w:noProof/>
            <w:rtl/>
          </w:rPr>
          <w:t>(روا</w:t>
        </w:r>
        <w:r w:rsidR="00F51BFC" w:rsidRPr="004F0496">
          <w:rPr>
            <w:rStyle w:val="ac"/>
            <w:rFonts w:hint="cs"/>
            <w:noProof/>
            <w:rtl/>
          </w:rPr>
          <w:t>ی</w:t>
        </w:r>
        <w:r w:rsidR="00F51BFC" w:rsidRPr="004F0496">
          <w:rPr>
            <w:rStyle w:val="ac"/>
            <w:rFonts w:hint="eastAsia"/>
            <w:noProof/>
            <w:rtl/>
          </w:rPr>
          <w:t>ت</w:t>
        </w:r>
        <w:r w:rsidR="00F51BFC" w:rsidRPr="004F0496">
          <w:rPr>
            <w:rStyle w:val="ac"/>
            <w:noProof/>
            <w:rtl/>
          </w:rPr>
          <w:t xml:space="preserve"> حفص بن غ</w:t>
        </w:r>
        <w:r w:rsidR="00F51BFC" w:rsidRPr="004F0496">
          <w:rPr>
            <w:rStyle w:val="ac"/>
            <w:rFonts w:hint="cs"/>
            <w:noProof/>
            <w:rtl/>
          </w:rPr>
          <w:t>ی</w:t>
        </w:r>
        <w:r w:rsidR="00F51BFC" w:rsidRPr="004F0496">
          <w:rPr>
            <w:rStyle w:val="ac"/>
            <w:rFonts w:hint="eastAsia"/>
            <w:noProof/>
            <w:rtl/>
          </w:rPr>
          <w:t>اث</w:t>
        </w:r>
        <w:r w:rsidR="00F51BFC" w:rsidRPr="004F0496">
          <w:rPr>
            <w:rStyle w:val="ac"/>
            <w:noProof/>
            <w:rtl/>
          </w:rPr>
          <w:t>)</w:t>
        </w:r>
        <w:r w:rsidR="00F51BFC">
          <w:rPr>
            <w:noProof/>
            <w:webHidden/>
            <w:rtl/>
          </w:rPr>
          <w:tab/>
        </w:r>
        <w:r w:rsidR="00F51BFC">
          <w:rPr>
            <w:noProof/>
            <w:webHidden/>
            <w:rtl/>
          </w:rPr>
          <w:fldChar w:fldCharType="begin"/>
        </w:r>
        <w:r w:rsidR="00F51BFC">
          <w:rPr>
            <w:noProof/>
            <w:webHidden/>
            <w:rtl/>
          </w:rPr>
          <w:instrText xml:space="preserve"> </w:instrText>
        </w:r>
        <w:r w:rsidR="00F51BFC">
          <w:rPr>
            <w:noProof/>
            <w:webHidden/>
          </w:rPr>
          <w:instrText>PAGEREF</w:instrText>
        </w:r>
        <w:r w:rsidR="00F51BFC">
          <w:rPr>
            <w:noProof/>
            <w:webHidden/>
            <w:rtl/>
          </w:rPr>
          <w:instrText xml:space="preserve"> _</w:instrText>
        </w:r>
        <w:r w:rsidR="00F51BFC">
          <w:rPr>
            <w:noProof/>
            <w:webHidden/>
          </w:rPr>
          <w:instrText>Toc534523062 \h</w:instrText>
        </w:r>
        <w:r w:rsidR="00F51BFC">
          <w:rPr>
            <w:noProof/>
            <w:webHidden/>
            <w:rtl/>
          </w:rPr>
          <w:instrText xml:space="preserve"> </w:instrText>
        </w:r>
        <w:r w:rsidR="00F51BFC">
          <w:rPr>
            <w:noProof/>
            <w:webHidden/>
            <w:rtl/>
          </w:rPr>
        </w:r>
        <w:r w:rsidR="00F51BFC">
          <w:rPr>
            <w:noProof/>
            <w:webHidden/>
            <w:rtl/>
          </w:rPr>
          <w:fldChar w:fldCharType="separate"/>
        </w:r>
        <w:r w:rsidR="00F51BFC">
          <w:rPr>
            <w:noProof/>
            <w:webHidden/>
            <w:rtl/>
          </w:rPr>
          <w:t>2</w:t>
        </w:r>
        <w:r w:rsidR="00F51BFC">
          <w:rPr>
            <w:noProof/>
            <w:webHidden/>
            <w:rtl/>
          </w:rPr>
          <w:fldChar w:fldCharType="end"/>
        </w:r>
      </w:hyperlink>
    </w:p>
    <w:p w:rsidR="00F51BFC" w:rsidRDefault="00226F23" w:rsidP="00F51BF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523063" w:history="1">
        <w:r w:rsidR="00F51BFC" w:rsidRPr="004F0496">
          <w:rPr>
            <w:rStyle w:val="ac"/>
            <w:noProof/>
            <w:rtl/>
          </w:rPr>
          <w:t>بررس</w:t>
        </w:r>
        <w:r w:rsidR="00F51BFC" w:rsidRPr="004F0496">
          <w:rPr>
            <w:rStyle w:val="ac"/>
            <w:rFonts w:hint="cs"/>
            <w:noProof/>
            <w:rtl/>
          </w:rPr>
          <w:t>ی</w:t>
        </w:r>
        <w:r w:rsidR="00F51BFC" w:rsidRPr="004F0496">
          <w:rPr>
            <w:rStyle w:val="ac"/>
            <w:noProof/>
            <w:rtl/>
          </w:rPr>
          <w:t xml:space="preserve"> سند</w:t>
        </w:r>
        <w:r w:rsidR="00F51BFC" w:rsidRPr="004F0496">
          <w:rPr>
            <w:rStyle w:val="ac"/>
            <w:rFonts w:hint="cs"/>
            <w:noProof/>
            <w:rtl/>
          </w:rPr>
          <w:t>ی</w:t>
        </w:r>
        <w:r w:rsidR="00F51BFC">
          <w:rPr>
            <w:noProof/>
            <w:webHidden/>
            <w:rtl/>
          </w:rPr>
          <w:tab/>
        </w:r>
        <w:r w:rsidR="00F51BFC">
          <w:rPr>
            <w:noProof/>
            <w:webHidden/>
            <w:rtl/>
          </w:rPr>
          <w:fldChar w:fldCharType="begin"/>
        </w:r>
        <w:r w:rsidR="00F51BFC">
          <w:rPr>
            <w:noProof/>
            <w:webHidden/>
            <w:rtl/>
          </w:rPr>
          <w:instrText xml:space="preserve"> </w:instrText>
        </w:r>
        <w:r w:rsidR="00F51BFC">
          <w:rPr>
            <w:noProof/>
            <w:webHidden/>
          </w:rPr>
          <w:instrText>PAGEREF</w:instrText>
        </w:r>
        <w:r w:rsidR="00F51BFC">
          <w:rPr>
            <w:noProof/>
            <w:webHidden/>
            <w:rtl/>
          </w:rPr>
          <w:instrText xml:space="preserve"> _</w:instrText>
        </w:r>
        <w:r w:rsidR="00F51BFC">
          <w:rPr>
            <w:noProof/>
            <w:webHidden/>
          </w:rPr>
          <w:instrText>Toc534523063 \h</w:instrText>
        </w:r>
        <w:r w:rsidR="00F51BFC">
          <w:rPr>
            <w:noProof/>
            <w:webHidden/>
            <w:rtl/>
          </w:rPr>
          <w:instrText xml:space="preserve"> </w:instrText>
        </w:r>
        <w:r w:rsidR="00F51BFC">
          <w:rPr>
            <w:noProof/>
            <w:webHidden/>
            <w:rtl/>
          </w:rPr>
        </w:r>
        <w:r w:rsidR="00F51BFC">
          <w:rPr>
            <w:noProof/>
            <w:webHidden/>
            <w:rtl/>
          </w:rPr>
          <w:fldChar w:fldCharType="separate"/>
        </w:r>
        <w:r w:rsidR="00F51BFC">
          <w:rPr>
            <w:noProof/>
            <w:webHidden/>
            <w:rtl/>
          </w:rPr>
          <w:t>2</w:t>
        </w:r>
        <w:r w:rsidR="00F51BFC">
          <w:rPr>
            <w:noProof/>
            <w:webHidden/>
            <w:rtl/>
          </w:rPr>
          <w:fldChar w:fldCharType="end"/>
        </w:r>
      </w:hyperlink>
    </w:p>
    <w:p w:rsidR="00F51BFC" w:rsidRDefault="00226F23" w:rsidP="00F51BF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4523064" w:history="1">
        <w:r w:rsidR="00F51BFC" w:rsidRPr="004F0496">
          <w:rPr>
            <w:rStyle w:val="ac"/>
            <w:noProof/>
            <w:rtl/>
          </w:rPr>
          <w:t>بررس</w:t>
        </w:r>
        <w:r w:rsidR="00F51BFC" w:rsidRPr="004F0496">
          <w:rPr>
            <w:rStyle w:val="ac"/>
            <w:rFonts w:hint="cs"/>
            <w:noProof/>
            <w:rtl/>
          </w:rPr>
          <w:t>ی</w:t>
        </w:r>
        <w:r w:rsidR="00F51BFC" w:rsidRPr="004F0496">
          <w:rPr>
            <w:rStyle w:val="ac"/>
            <w:noProof/>
            <w:rtl/>
          </w:rPr>
          <w:t xml:space="preserve"> دلال</w:t>
        </w:r>
        <w:r w:rsidR="00F51BFC" w:rsidRPr="004F0496">
          <w:rPr>
            <w:rStyle w:val="ac"/>
            <w:rFonts w:hint="cs"/>
            <w:noProof/>
            <w:rtl/>
          </w:rPr>
          <w:t>ی</w:t>
        </w:r>
        <w:r w:rsidR="00F51BFC">
          <w:rPr>
            <w:noProof/>
            <w:webHidden/>
            <w:rtl/>
          </w:rPr>
          <w:tab/>
        </w:r>
        <w:r w:rsidR="00F51BFC">
          <w:rPr>
            <w:noProof/>
            <w:webHidden/>
            <w:rtl/>
          </w:rPr>
          <w:fldChar w:fldCharType="begin"/>
        </w:r>
        <w:r w:rsidR="00F51BFC">
          <w:rPr>
            <w:noProof/>
            <w:webHidden/>
            <w:rtl/>
          </w:rPr>
          <w:instrText xml:space="preserve"> </w:instrText>
        </w:r>
        <w:r w:rsidR="00F51BFC">
          <w:rPr>
            <w:noProof/>
            <w:webHidden/>
          </w:rPr>
          <w:instrText>PAGEREF</w:instrText>
        </w:r>
        <w:r w:rsidR="00F51BFC">
          <w:rPr>
            <w:noProof/>
            <w:webHidden/>
            <w:rtl/>
          </w:rPr>
          <w:instrText xml:space="preserve"> _</w:instrText>
        </w:r>
        <w:r w:rsidR="00F51BFC">
          <w:rPr>
            <w:noProof/>
            <w:webHidden/>
          </w:rPr>
          <w:instrText>Toc534523064 \h</w:instrText>
        </w:r>
        <w:r w:rsidR="00F51BFC">
          <w:rPr>
            <w:noProof/>
            <w:webHidden/>
            <w:rtl/>
          </w:rPr>
          <w:instrText xml:space="preserve"> </w:instrText>
        </w:r>
        <w:r w:rsidR="00F51BFC">
          <w:rPr>
            <w:noProof/>
            <w:webHidden/>
            <w:rtl/>
          </w:rPr>
        </w:r>
        <w:r w:rsidR="00F51BFC">
          <w:rPr>
            <w:noProof/>
            <w:webHidden/>
            <w:rtl/>
          </w:rPr>
          <w:fldChar w:fldCharType="separate"/>
        </w:r>
        <w:r w:rsidR="00F51BFC">
          <w:rPr>
            <w:noProof/>
            <w:webHidden/>
            <w:rtl/>
          </w:rPr>
          <w:t>3</w:t>
        </w:r>
        <w:r w:rsidR="00F51BFC">
          <w:rPr>
            <w:noProof/>
            <w:webHidden/>
            <w:rtl/>
          </w:rPr>
          <w:fldChar w:fldCharType="end"/>
        </w:r>
      </w:hyperlink>
    </w:p>
    <w:p w:rsidR="00F51BFC" w:rsidRDefault="00226F23" w:rsidP="00F51BFC">
      <w:pPr>
        <w:pStyle w:val="42"/>
        <w:tabs>
          <w:tab w:val="right" w:leader="dot" w:pos="10194"/>
        </w:tabs>
        <w:rPr>
          <w:rFonts w:asciiTheme="minorHAnsi" w:eastAsiaTheme="minorEastAsia" w:hAnsiTheme="minorHAnsi" w:cstheme="minorBidi"/>
          <w:bCs w:val="0"/>
          <w:noProof/>
          <w:color w:val="auto"/>
          <w:szCs w:val="22"/>
          <w:rtl/>
          <w:lang w:bidi="ar-SA"/>
        </w:rPr>
      </w:pPr>
      <w:hyperlink w:anchor="_Toc534523065" w:history="1">
        <w:r w:rsidR="00F51BFC" w:rsidRPr="004F0496">
          <w:rPr>
            <w:rStyle w:val="ac"/>
            <w:noProof/>
            <w:rtl/>
          </w:rPr>
          <w:t>مناقشه(نائ</w:t>
        </w:r>
        <w:r w:rsidR="00F51BFC" w:rsidRPr="004F0496">
          <w:rPr>
            <w:rStyle w:val="ac"/>
            <w:rFonts w:hint="cs"/>
            <w:noProof/>
            <w:rtl/>
          </w:rPr>
          <w:t>ی</w:t>
        </w:r>
        <w:r w:rsidR="00F51BFC" w:rsidRPr="004F0496">
          <w:rPr>
            <w:rStyle w:val="ac"/>
            <w:rFonts w:hint="eastAsia"/>
            <w:noProof/>
            <w:rtl/>
          </w:rPr>
          <w:t>ن</w:t>
        </w:r>
        <w:r w:rsidR="00F51BFC" w:rsidRPr="004F0496">
          <w:rPr>
            <w:rStyle w:val="ac"/>
            <w:rFonts w:hint="cs"/>
            <w:noProof/>
            <w:rtl/>
          </w:rPr>
          <w:t>ی</w:t>
        </w:r>
        <w:r w:rsidR="00F51BFC" w:rsidRPr="004F0496">
          <w:rPr>
            <w:rStyle w:val="ac"/>
            <w:noProof/>
            <w:rtl/>
          </w:rPr>
          <w:t>)</w:t>
        </w:r>
        <w:r w:rsidR="00F51BFC">
          <w:rPr>
            <w:noProof/>
            <w:webHidden/>
            <w:rtl/>
          </w:rPr>
          <w:tab/>
        </w:r>
        <w:r w:rsidR="00F51BFC">
          <w:rPr>
            <w:noProof/>
            <w:webHidden/>
            <w:rtl/>
          </w:rPr>
          <w:fldChar w:fldCharType="begin"/>
        </w:r>
        <w:r w:rsidR="00F51BFC">
          <w:rPr>
            <w:noProof/>
            <w:webHidden/>
            <w:rtl/>
          </w:rPr>
          <w:instrText xml:space="preserve"> </w:instrText>
        </w:r>
        <w:r w:rsidR="00F51BFC">
          <w:rPr>
            <w:noProof/>
            <w:webHidden/>
          </w:rPr>
          <w:instrText>PAGEREF</w:instrText>
        </w:r>
        <w:r w:rsidR="00F51BFC">
          <w:rPr>
            <w:noProof/>
            <w:webHidden/>
            <w:rtl/>
          </w:rPr>
          <w:instrText xml:space="preserve"> _</w:instrText>
        </w:r>
        <w:r w:rsidR="00F51BFC">
          <w:rPr>
            <w:noProof/>
            <w:webHidden/>
          </w:rPr>
          <w:instrText>Toc534523065 \h</w:instrText>
        </w:r>
        <w:r w:rsidR="00F51BFC">
          <w:rPr>
            <w:noProof/>
            <w:webHidden/>
            <w:rtl/>
          </w:rPr>
          <w:instrText xml:space="preserve"> </w:instrText>
        </w:r>
        <w:r w:rsidR="00F51BFC">
          <w:rPr>
            <w:noProof/>
            <w:webHidden/>
            <w:rtl/>
          </w:rPr>
        </w:r>
        <w:r w:rsidR="00F51BFC">
          <w:rPr>
            <w:noProof/>
            <w:webHidden/>
            <w:rtl/>
          </w:rPr>
          <w:fldChar w:fldCharType="separate"/>
        </w:r>
        <w:r w:rsidR="00F51BFC">
          <w:rPr>
            <w:noProof/>
            <w:webHidden/>
            <w:rtl/>
          </w:rPr>
          <w:t>3</w:t>
        </w:r>
        <w:r w:rsidR="00F51BFC">
          <w:rPr>
            <w:noProof/>
            <w:webHidden/>
            <w:rtl/>
          </w:rPr>
          <w:fldChar w:fldCharType="end"/>
        </w:r>
      </w:hyperlink>
    </w:p>
    <w:p w:rsidR="00F51BFC" w:rsidRDefault="00226F23" w:rsidP="00F51BFC">
      <w:pPr>
        <w:pStyle w:val="52"/>
        <w:tabs>
          <w:tab w:val="right" w:leader="dot" w:pos="10194"/>
        </w:tabs>
        <w:rPr>
          <w:rFonts w:asciiTheme="minorHAnsi" w:eastAsiaTheme="minorEastAsia" w:hAnsiTheme="minorHAnsi" w:cstheme="minorBidi"/>
          <w:bCs w:val="0"/>
          <w:noProof/>
          <w:color w:val="auto"/>
          <w:szCs w:val="22"/>
          <w:rtl/>
          <w:lang w:bidi="ar-SA"/>
        </w:rPr>
      </w:pPr>
      <w:hyperlink w:anchor="_Toc534523066" w:history="1">
        <w:r w:rsidR="00F51BFC" w:rsidRPr="004F0496">
          <w:rPr>
            <w:rStyle w:val="ac"/>
            <w:noProof/>
            <w:rtl/>
          </w:rPr>
          <w:t>تخلص( تبر</w:t>
        </w:r>
        <w:r w:rsidR="00F51BFC" w:rsidRPr="004F0496">
          <w:rPr>
            <w:rStyle w:val="ac"/>
            <w:rFonts w:hint="cs"/>
            <w:noProof/>
            <w:rtl/>
          </w:rPr>
          <w:t>ی</w:t>
        </w:r>
        <w:r w:rsidR="00F51BFC" w:rsidRPr="004F0496">
          <w:rPr>
            <w:rStyle w:val="ac"/>
            <w:rFonts w:hint="eastAsia"/>
            <w:noProof/>
            <w:rtl/>
          </w:rPr>
          <w:t>ز</w:t>
        </w:r>
        <w:r w:rsidR="00F51BFC" w:rsidRPr="004F0496">
          <w:rPr>
            <w:rStyle w:val="ac"/>
            <w:rFonts w:hint="cs"/>
            <w:noProof/>
            <w:rtl/>
          </w:rPr>
          <w:t>ی</w:t>
        </w:r>
        <w:r w:rsidR="00F51BFC" w:rsidRPr="004F0496">
          <w:rPr>
            <w:rStyle w:val="ac"/>
            <w:noProof/>
            <w:rtl/>
          </w:rPr>
          <w:t>)</w:t>
        </w:r>
        <w:r w:rsidR="00F51BFC">
          <w:rPr>
            <w:noProof/>
            <w:webHidden/>
            <w:rtl/>
          </w:rPr>
          <w:tab/>
        </w:r>
        <w:r w:rsidR="00F51BFC">
          <w:rPr>
            <w:noProof/>
            <w:webHidden/>
            <w:rtl/>
          </w:rPr>
          <w:fldChar w:fldCharType="begin"/>
        </w:r>
        <w:r w:rsidR="00F51BFC">
          <w:rPr>
            <w:noProof/>
            <w:webHidden/>
            <w:rtl/>
          </w:rPr>
          <w:instrText xml:space="preserve"> </w:instrText>
        </w:r>
        <w:r w:rsidR="00F51BFC">
          <w:rPr>
            <w:noProof/>
            <w:webHidden/>
          </w:rPr>
          <w:instrText>PAGEREF</w:instrText>
        </w:r>
        <w:r w:rsidR="00F51BFC">
          <w:rPr>
            <w:noProof/>
            <w:webHidden/>
            <w:rtl/>
          </w:rPr>
          <w:instrText xml:space="preserve"> _</w:instrText>
        </w:r>
        <w:r w:rsidR="00F51BFC">
          <w:rPr>
            <w:noProof/>
            <w:webHidden/>
          </w:rPr>
          <w:instrText>Toc534523066 \h</w:instrText>
        </w:r>
        <w:r w:rsidR="00F51BFC">
          <w:rPr>
            <w:noProof/>
            <w:webHidden/>
            <w:rtl/>
          </w:rPr>
          <w:instrText xml:space="preserve"> </w:instrText>
        </w:r>
        <w:r w:rsidR="00F51BFC">
          <w:rPr>
            <w:noProof/>
            <w:webHidden/>
            <w:rtl/>
          </w:rPr>
        </w:r>
        <w:r w:rsidR="00F51BFC">
          <w:rPr>
            <w:noProof/>
            <w:webHidden/>
            <w:rtl/>
          </w:rPr>
          <w:fldChar w:fldCharType="separate"/>
        </w:r>
        <w:r w:rsidR="00F51BFC">
          <w:rPr>
            <w:noProof/>
            <w:webHidden/>
            <w:rtl/>
          </w:rPr>
          <w:t>4</w:t>
        </w:r>
        <w:r w:rsidR="00F51BFC">
          <w:rPr>
            <w:noProof/>
            <w:webHidden/>
            <w:rtl/>
          </w:rPr>
          <w:fldChar w:fldCharType="end"/>
        </w:r>
      </w:hyperlink>
    </w:p>
    <w:p w:rsidR="00F51BFC" w:rsidRDefault="00226F23" w:rsidP="00F51BFC">
      <w:pPr>
        <w:pStyle w:val="11"/>
        <w:rPr>
          <w:rFonts w:asciiTheme="minorHAnsi" w:eastAsiaTheme="minorEastAsia" w:hAnsiTheme="minorHAnsi" w:cstheme="minorBidi"/>
          <w:noProof/>
          <w:color w:val="auto"/>
          <w:szCs w:val="22"/>
          <w:rtl/>
          <w:lang w:bidi="ar-SA"/>
        </w:rPr>
      </w:pPr>
      <w:hyperlink w:anchor="_Toc534523067" w:history="1">
        <w:r w:rsidR="00F51BFC" w:rsidRPr="004F0496">
          <w:rPr>
            <w:rStyle w:val="ac"/>
            <w:noProof/>
            <w:rtl/>
          </w:rPr>
          <w:t>خلاصه جلسه</w:t>
        </w:r>
        <w:r w:rsidR="00F51BFC">
          <w:rPr>
            <w:noProof/>
            <w:webHidden/>
            <w:rtl/>
          </w:rPr>
          <w:tab/>
        </w:r>
        <w:r w:rsidR="00F51BFC">
          <w:rPr>
            <w:noProof/>
            <w:webHidden/>
            <w:rtl/>
          </w:rPr>
          <w:fldChar w:fldCharType="begin"/>
        </w:r>
        <w:r w:rsidR="00F51BFC">
          <w:rPr>
            <w:noProof/>
            <w:webHidden/>
            <w:rtl/>
          </w:rPr>
          <w:instrText xml:space="preserve"> </w:instrText>
        </w:r>
        <w:r w:rsidR="00F51BFC">
          <w:rPr>
            <w:noProof/>
            <w:webHidden/>
          </w:rPr>
          <w:instrText>PAGEREF</w:instrText>
        </w:r>
        <w:r w:rsidR="00F51BFC">
          <w:rPr>
            <w:noProof/>
            <w:webHidden/>
            <w:rtl/>
          </w:rPr>
          <w:instrText xml:space="preserve"> _</w:instrText>
        </w:r>
        <w:r w:rsidR="00F51BFC">
          <w:rPr>
            <w:noProof/>
            <w:webHidden/>
          </w:rPr>
          <w:instrText>Toc534523067 \h</w:instrText>
        </w:r>
        <w:r w:rsidR="00F51BFC">
          <w:rPr>
            <w:noProof/>
            <w:webHidden/>
            <w:rtl/>
          </w:rPr>
          <w:instrText xml:space="preserve"> </w:instrText>
        </w:r>
        <w:r w:rsidR="00F51BFC">
          <w:rPr>
            <w:noProof/>
            <w:webHidden/>
            <w:rtl/>
          </w:rPr>
        </w:r>
        <w:r w:rsidR="00F51BFC">
          <w:rPr>
            <w:noProof/>
            <w:webHidden/>
            <w:rtl/>
          </w:rPr>
          <w:fldChar w:fldCharType="separate"/>
        </w:r>
        <w:r w:rsidR="00F51BFC">
          <w:rPr>
            <w:noProof/>
            <w:webHidden/>
            <w:rtl/>
          </w:rPr>
          <w:t>4</w:t>
        </w:r>
        <w:r w:rsidR="00F51BFC">
          <w:rPr>
            <w:noProof/>
            <w:webHidden/>
            <w:rtl/>
          </w:rPr>
          <w:fldChar w:fldCharType="end"/>
        </w:r>
      </w:hyperlink>
    </w:p>
    <w:p w:rsidR="00C91EB6" w:rsidRPr="00C91EB6" w:rsidRDefault="00F51BFC" w:rsidP="00781C9E">
      <w:pPr>
        <w:jc w:val="both"/>
      </w:pPr>
      <w:r>
        <w:rPr>
          <w:rFonts w:cs="B Titr"/>
          <w:noProof/>
          <w:webHidden/>
          <w:color w:val="632423" w:themeColor="accent2" w:themeShade="80"/>
          <w:szCs w:val="24"/>
          <w:rtl/>
        </w:rPr>
        <w:fldChar w:fldCharType="end"/>
      </w:r>
    </w:p>
    <w:p w:rsidR="00F343FB" w:rsidRPr="00A6366F" w:rsidRDefault="00F842AD" w:rsidP="00DD77ED">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D77ED" w:rsidRPr="00DD77ED">
        <w:rPr>
          <w:rtl/>
        </w:rPr>
        <w:t>وجه چهارم، روا</w:t>
      </w:r>
      <w:r w:rsidR="00DD77ED" w:rsidRPr="00DD77ED">
        <w:rPr>
          <w:rFonts w:hint="cs"/>
          <w:rtl/>
        </w:rPr>
        <w:t>ی</w:t>
      </w:r>
      <w:r w:rsidR="00DD77ED" w:rsidRPr="00DD77ED">
        <w:rPr>
          <w:rFonts w:hint="eastAsia"/>
          <w:rtl/>
        </w:rPr>
        <w:t>ت</w:t>
      </w:r>
      <w:r w:rsidR="00DD77ED" w:rsidRPr="00DD77ED">
        <w:rPr>
          <w:rtl/>
        </w:rPr>
        <w:t xml:space="preserve"> حفص بن غ</w:t>
      </w:r>
      <w:r w:rsidR="00DD77ED" w:rsidRPr="00DD77ED">
        <w:rPr>
          <w:rFonts w:hint="cs"/>
          <w:rtl/>
        </w:rPr>
        <w:t>ی</w:t>
      </w:r>
      <w:r w:rsidR="00DD77ED" w:rsidRPr="00DD77ED">
        <w:rPr>
          <w:rFonts w:hint="eastAsia"/>
          <w:rtl/>
        </w:rPr>
        <w:t>اث</w:t>
      </w:r>
      <w:r w:rsidR="00025B70">
        <w:rPr>
          <w:rFonts w:hint="cs"/>
          <w:rtl/>
        </w:rPr>
        <w:t xml:space="preserve"> </w:t>
      </w:r>
      <w:r w:rsidR="00386C11" w:rsidRPr="00A6366F">
        <w:rPr>
          <w:rFonts w:hint="cs"/>
          <w:rtl/>
        </w:rPr>
        <w:t>/</w:t>
      </w:r>
      <w:bookmarkStart w:id="1" w:name="BokSabj_d"/>
      <w:bookmarkEnd w:id="1"/>
      <w:r w:rsidR="002E436A">
        <w:rPr>
          <w:rtl/>
        </w:rPr>
        <w:t>اصاله الصحه</w:t>
      </w:r>
      <w:r w:rsidR="00386C11" w:rsidRPr="00A6366F">
        <w:rPr>
          <w:rFonts w:hint="cs"/>
          <w:rtl/>
        </w:rPr>
        <w:t xml:space="preserve"> /</w:t>
      </w:r>
      <w:bookmarkStart w:id="2" w:name="Bokkolli"/>
      <w:bookmarkEnd w:id="2"/>
      <w:r w:rsidR="002E436A">
        <w:rPr>
          <w:rtl/>
        </w:rPr>
        <w:t>تنب</w:t>
      </w:r>
      <w:r w:rsidR="002E436A">
        <w:rPr>
          <w:rFonts w:hint="cs"/>
          <w:rtl/>
        </w:rPr>
        <w:t>ی</w:t>
      </w:r>
      <w:r w:rsidR="002E436A">
        <w:rPr>
          <w:rFonts w:hint="eastAsia"/>
          <w:rtl/>
        </w:rPr>
        <w:t>هات</w:t>
      </w:r>
      <w:r w:rsidR="002E436A">
        <w:rPr>
          <w:rtl/>
        </w:rPr>
        <w:t xml:space="preserve"> استصحاب، تعارض با سا</w:t>
      </w:r>
      <w:r w:rsidR="002E436A">
        <w:rPr>
          <w:rFonts w:hint="cs"/>
          <w:rtl/>
        </w:rPr>
        <w:t>ی</w:t>
      </w:r>
      <w:r w:rsidR="002E436A">
        <w:rPr>
          <w:rFonts w:hint="eastAsia"/>
          <w:rtl/>
        </w:rPr>
        <w:t>ر</w:t>
      </w:r>
      <w:r w:rsidR="002E436A">
        <w:rPr>
          <w:rtl/>
        </w:rPr>
        <w:t xml:space="preserve"> اصول</w:t>
      </w:r>
      <w:r w:rsidR="001B6799" w:rsidRPr="00A6366F">
        <w:rPr>
          <w:rFonts w:hint="cs"/>
          <w:rtl/>
        </w:rPr>
        <w:t xml:space="preserve"> </w:t>
      </w:r>
    </w:p>
    <w:p w:rsidR="008F5B4D" w:rsidRPr="009C66D5" w:rsidRDefault="008F5B4D" w:rsidP="00781C9E">
      <w:pPr>
        <w:jc w:val="both"/>
        <w:rPr>
          <w:rStyle w:val="af0"/>
          <w:b/>
          <w:bCs w:val="0"/>
          <w:rtl/>
        </w:rPr>
      </w:pPr>
      <w:r w:rsidRPr="009C66D5">
        <w:rPr>
          <w:rStyle w:val="af0"/>
          <w:rFonts w:hint="cs"/>
          <w:b/>
          <w:bCs w:val="0"/>
          <w:rtl/>
        </w:rPr>
        <w:t>خلاصه مباحث گذشته:</w:t>
      </w:r>
    </w:p>
    <w:p w:rsidR="003A6148" w:rsidRDefault="009D266E" w:rsidP="00C21875">
      <w:pPr>
        <w:pBdr>
          <w:bottom w:val="double" w:sz="6" w:space="1" w:color="auto"/>
        </w:pBdr>
        <w:jc w:val="both"/>
        <w:rPr>
          <w:rtl/>
        </w:rPr>
      </w:pPr>
      <w:r>
        <w:rPr>
          <w:rFonts w:hint="cs"/>
          <w:rtl/>
        </w:rPr>
        <w:t>دلیل سوم</w:t>
      </w:r>
      <w:r w:rsidR="00B40BFB">
        <w:rPr>
          <w:rFonts w:hint="cs"/>
          <w:rtl/>
        </w:rPr>
        <w:t xml:space="preserve"> برای اصاله الصحه به معنای رابع</w:t>
      </w:r>
      <w:r>
        <w:rPr>
          <w:rFonts w:hint="cs"/>
          <w:rtl/>
        </w:rPr>
        <w:t>،</w:t>
      </w:r>
      <w:r w:rsidR="00B40BFB">
        <w:rPr>
          <w:rFonts w:hint="cs"/>
          <w:rtl/>
        </w:rPr>
        <w:t xml:space="preserve"> استدلال به روایاتی بود که </w:t>
      </w:r>
      <w:r>
        <w:rPr>
          <w:rFonts w:hint="cs"/>
          <w:rtl/>
        </w:rPr>
        <w:t>از آن ها امضاء اصاله الصحه مذکور را استفاده کردند</w:t>
      </w:r>
      <w:r w:rsidR="00B40BFB">
        <w:rPr>
          <w:rFonts w:hint="cs"/>
          <w:rtl/>
        </w:rPr>
        <w:t xml:space="preserve">. </w:t>
      </w:r>
      <w:r>
        <w:rPr>
          <w:rFonts w:hint="cs"/>
          <w:rtl/>
        </w:rPr>
        <w:t xml:space="preserve">لکن </w:t>
      </w:r>
      <w:r w:rsidR="00B40BFB">
        <w:rPr>
          <w:rFonts w:hint="cs"/>
          <w:rtl/>
        </w:rPr>
        <w:t xml:space="preserve">در مقام مناقشه </w:t>
      </w:r>
      <w:r>
        <w:rPr>
          <w:rFonts w:hint="cs"/>
          <w:rtl/>
        </w:rPr>
        <w:t>عرض کردیم که فقط از طایفه اول استفاده حجیت اصاله الصحه می</w:t>
      </w:r>
      <w:r>
        <w:rPr>
          <w:rFonts w:hint="eastAsia"/>
          <w:rtl/>
        </w:rPr>
        <w:t>‌شود</w:t>
      </w:r>
      <w:r w:rsidR="00B40BFB">
        <w:rPr>
          <w:rFonts w:hint="cs"/>
          <w:rtl/>
        </w:rPr>
        <w:t xml:space="preserve"> و از روایات دیگر</w:t>
      </w:r>
      <w:r>
        <w:rPr>
          <w:rFonts w:hint="cs"/>
          <w:rtl/>
        </w:rPr>
        <w:t xml:space="preserve"> صرفا استفاده بیان حکم واقعی می شود</w:t>
      </w:r>
      <w:r w:rsidR="00DC683F">
        <w:rPr>
          <w:rFonts w:hint="cs"/>
          <w:rtl/>
        </w:rPr>
        <w:t xml:space="preserve"> و</w:t>
      </w:r>
      <w:r>
        <w:rPr>
          <w:rFonts w:hint="cs"/>
          <w:rtl/>
        </w:rPr>
        <w:t xml:space="preserve"> </w:t>
      </w:r>
      <w:r w:rsidR="00DC683F">
        <w:rPr>
          <w:rFonts w:hint="cs"/>
          <w:rtl/>
        </w:rPr>
        <w:t xml:space="preserve">حکم به </w:t>
      </w:r>
      <w:r>
        <w:rPr>
          <w:rFonts w:hint="cs"/>
          <w:rtl/>
        </w:rPr>
        <w:t xml:space="preserve">صحت عمل و تمامیت اجزاء و شرایط </w:t>
      </w:r>
      <w:bookmarkStart w:id="3" w:name="_GoBack"/>
      <w:bookmarkEnd w:id="3"/>
      <w:r w:rsidR="00DC683F">
        <w:rPr>
          <w:rFonts w:hint="cs"/>
          <w:rtl/>
        </w:rPr>
        <w:t xml:space="preserve">در موضع شک را نمی‌توان از این طوائف استفاده کرد. طایفه سوم و چهارم نیز(که نشان از وکیل گرفتن معصومین ع دارد و جواز این کار دارد) </w:t>
      </w:r>
      <w:r w:rsidR="00C21875">
        <w:rPr>
          <w:rFonts w:hint="cs"/>
          <w:rtl/>
        </w:rPr>
        <w:t xml:space="preserve">ممکن است </w:t>
      </w:r>
      <w:proofErr w:type="spellStart"/>
      <w:r w:rsidR="00C21875">
        <w:rPr>
          <w:rFonts w:hint="cs"/>
          <w:rtl/>
        </w:rPr>
        <w:t>ازجهت</w:t>
      </w:r>
      <w:proofErr w:type="spellEnd"/>
      <w:r w:rsidR="00C21875">
        <w:rPr>
          <w:rFonts w:hint="cs"/>
          <w:rtl/>
        </w:rPr>
        <w:t xml:space="preserve"> حصول </w:t>
      </w:r>
      <w:r w:rsidR="00DC683F">
        <w:rPr>
          <w:rFonts w:hint="cs"/>
          <w:rtl/>
        </w:rPr>
        <w:t>اطم</w:t>
      </w:r>
      <w:r w:rsidR="00781C9E">
        <w:rPr>
          <w:rFonts w:hint="cs"/>
          <w:rtl/>
        </w:rPr>
        <w:t>ینان و اعتماد به صحت عمل وکیل</w:t>
      </w:r>
      <w:r w:rsidR="00C21875">
        <w:rPr>
          <w:rFonts w:hint="cs"/>
          <w:rtl/>
        </w:rPr>
        <w:t xml:space="preserve"> باشد </w:t>
      </w:r>
      <w:r w:rsidR="00781C9E">
        <w:rPr>
          <w:rFonts w:hint="cs"/>
          <w:rtl/>
        </w:rPr>
        <w:t xml:space="preserve">، </w:t>
      </w:r>
      <w:r w:rsidR="00C21875">
        <w:rPr>
          <w:rFonts w:hint="cs"/>
          <w:rtl/>
        </w:rPr>
        <w:t xml:space="preserve">چون </w:t>
      </w:r>
      <w:proofErr w:type="spellStart"/>
      <w:r w:rsidR="00C21875">
        <w:rPr>
          <w:rFonts w:hint="cs"/>
          <w:rtl/>
        </w:rPr>
        <w:t>دراین</w:t>
      </w:r>
      <w:proofErr w:type="spellEnd"/>
      <w:r w:rsidR="00C21875">
        <w:rPr>
          <w:rFonts w:hint="cs"/>
          <w:rtl/>
        </w:rPr>
        <w:t xml:space="preserve"> روایات</w:t>
      </w:r>
      <w:r w:rsidR="00781C9E">
        <w:rPr>
          <w:rFonts w:hint="cs"/>
          <w:rtl/>
        </w:rPr>
        <w:t xml:space="preserve"> فرض شک در صحت</w:t>
      </w:r>
      <w:r w:rsidR="00C21875">
        <w:rPr>
          <w:rFonts w:hint="cs"/>
          <w:rtl/>
        </w:rPr>
        <w:t xml:space="preserve"> عمل صادر </w:t>
      </w:r>
      <w:proofErr w:type="spellStart"/>
      <w:r w:rsidR="00C21875">
        <w:rPr>
          <w:rFonts w:hint="cs"/>
          <w:rtl/>
        </w:rPr>
        <w:t>ازوکيل</w:t>
      </w:r>
      <w:proofErr w:type="spellEnd"/>
      <w:r w:rsidR="00C21875">
        <w:rPr>
          <w:rFonts w:hint="cs"/>
          <w:rtl/>
        </w:rPr>
        <w:t xml:space="preserve"> نشده است</w:t>
      </w:r>
      <w:r w:rsidR="00781C9E">
        <w:rPr>
          <w:rFonts w:hint="cs"/>
          <w:rtl/>
        </w:rPr>
        <w:t>.</w:t>
      </w:r>
    </w:p>
    <w:p w:rsidR="00247D2F" w:rsidRPr="003A6148" w:rsidRDefault="00247D2F" w:rsidP="00781C9E">
      <w:pPr>
        <w:pBdr>
          <w:bottom w:val="double" w:sz="6" w:space="1" w:color="auto"/>
        </w:pBdr>
        <w:jc w:val="both"/>
      </w:pPr>
    </w:p>
    <w:p w:rsidR="008F5B4D" w:rsidRDefault="008F5B4D" w:rsidP="00781C9E">
      <w:pPr>
        <w:jc w:val="both"/>
      </w:pPr>
    </w:p>
    <w:p w:rsidR="00CB17A0" w:rsidRDefault="00CB17A0" w:rsidP="00CB17A0">
      <w:pPr>
        <w:pStyle w:val="1"/>
        <w:rPr>
          <w:rtl/>
        </w:rPr>
      </w:pPr>
      <w:bookmarkStart w:id="4" w:name="_Toc534523060"/>
      <w:r>
        <w:rPr>
          <w:rFonts w:hint="cs"/>
          <w:rtl/>
        </w:rPr>
        <w:t>نتیجه استدلال به روایات</w:t>
      </w:r>
      <w:bookmarkEnd w:id="4"/>
    </w:p>
    <w:p w:rsidR="00CB17A0" w:rsidRDefault="003E6996" w:rsidP="00CB17A0">
      <w:pPr>
        <w:jc w:val="both"/>
        <w:rPr>
          <w:rtl/>
        </w:rPr>
      </w:pPr>
      <w:r>
        <w:rPr>
          <w:rFonts w:hint="cs"/>
          <w:rtl/>
        </w:rPr>
        <w:t>پس طوایف مختلفی که از آن بالمطابقه استفاده اصاله الصحه شود نداریم.</w:t>
      </w:r>
      <w:r w:rsidR="00B4635F">
        <w:rPr>
          <w:rFonts w:hint="cs"/>
          <w:rtl/>
        </w:rPr>
        <w:t xml:space="preserve"> فقط یک طایفه از روایات دلالت داشت که احتمال خصوصیت در آن داده می شود</w:t>
      </w:r>
      <w:r w:rsidR="00CB17A0">
        <w:rPr>
          <w:rFonts w:hint="cs"/>
          <w:rtl/>
        </w:rPr>
        <w:t>(شاید چون تجهیز میت صعوبت های خاصی دارد که نیازمند جریان اصاله الصحه در آن است.)</w:t>
      </w:r>
      <w:r w:rsidR="00B4635F">
        <w:rPr>
          <w:rFonts w:hint="cs"/>
          <w:rtl/>
        </w:rPr>
        <w:t xml:space="preserve"> و لذا نمی توان از آن قاعده عامی را استفاده کرد.</w:t>
      </w:r>
    </w:p>
    <w:p w:rsidR="00CB17A0" w:rsidRDefault="00CB17A0" w:rsidP="00CB17A0">
      <w:pPr>
        <w:pStyle w:val="1"/>
        <w:rPr>
          <w:rtl/>
        </w:rPr>
      </w:pPr>
      <w:bookmarkStart w:id="5" w:name="_Toc534523061"/>
      <w:r>
        <w:rPr>
          <w:rFonts w:hint="cs"/>
          <w:rtl/>
        </w:rPr>
        <w:t>وجه چهارم</w:t>
      </w:r>
      <w:bookmarkEnd w:id="5"/>
    </w:p>
    <w:p w:rsidR="00CB17A0" w:rsidRDefault="00CB17A0" w:rsidP="0004752E">
      <w:pPr>
        <w:jc w:val="both"/>
        <w:rPr>
          <w:rtl/>
        </w:rPr>
      </w:pPr>
      <w:r>
        <w:rPr>
          <w:rFonts w:hint="cs"/>
          <w:rtl/>
        </w:rPr>
        <w:t>این وجه</w:t>
      </w:r>
      <w:r w:rsidR="00080E6B">
        <w:rPr>
          <w:rFonts w:hint="cs"/>
          <w:rtl/>
        </w:rPr>
        <w:t xml:space="preserve"> به دو </w:t>
      </w:r>
      <w:r>
        <w:rPr>
          <w:rFonts w:hint="cs"/>
          <w:rtl/>
        </w:rPr>
        <w:t xml:space="preserve">صورت تقریب شده است که </w:t>
      </w:r>
      <w:r w:rsidR="0004752E">
        <w:rPr>
          <w:rFonts w:hint="cs"/>
          <w:rtl/>
        </w:rPr>
        <w:t>صورت اول به</w:t>
      </w:r>
      <w:r>
        <w:rPr>
          <w:rFonts w:hint="cs"/>
          <w:rtl/>
        </w:rPr>
        <w:t xml:space="preserve"> استدلال به</w:t>
      </w:r>
      <w:r w:rsidR="00080E6B">
        <w:rPr>
          <w:rFonts w:hint="cs"/>
          <w:rtl/>
        </w:rPr>
        <w:t xml:space="preserve"> روای</w:t>
      </w:r>
      <w:r>
        <w:rPr>
          <w:rFonts w:hint="cs"/>
          <w:rtl/>
        </w:rPr>
        <w:t xml:space="preserve">ات بر می گردد و </w:t>
      </w:r>
      <w:r w:rsidR="0004752E">
        <w:rPr>
          <w:rFonts w:hint="cs"/>
          <w:rtl/>
        </w:rPr>
        <w:t>صورت دوم</w:t>
      </w:r>
      <w:r>
        <w:rPr>
          <w:rFonts w:hint="cs"/>
          <w:rtl/>
        </w:rPr>
        <w:t>، به حکم عقل.</w:t>
      </w:r>
    </w:p>
    <w:p w:rsidR="00080E6B" w:rsidRDefault="00CB17A0" w:rsidP="00CB17A0">
      <w:pPr>
        <w:pStyle w:val="20"/>
        <w:rPr>
          <w:rtl/>
        </w:rPr>
      </w:pPr>
      <w:bookmarkStart w:id="6" w:name="_Toc534523062"/>
      <w:r>
        <w:rPr>
          <w:rFonts w:hint="cs"/>
          <w:rtl/>
        </w:rPr>
        <w:lastRenderedPageBreak/>
        <w:t>تقریب روائی</w:t>
      </w:r>
      <w:r w:rsidR="00C845A3">
        <w:rPr>
          <w:rFonts w:hint="cs"/>
          <w:rtl/>
        </w:rPr>
        <w:t>(روایت حفص بن غیاث)</w:t>
      </w:r>
      <w:bookmarkEnd w:id="6"/>
      <w:r w:rsidR="00080E6B">
        <w:rPr>
          <w:rFonts w:hint="cs"/>
          <w:rtl/>
        </w:rPr>
        <w:t xml:space="preserve"> </w:t>
      </w:r>
    </w:p>
    <w:p w:rsidR="00CB17A0" w:rsidRDefault="00CB17A0" w:rsidP="00C845A3">
      <w:r>
        <w:rPr>
          <w:rFonts w:hint="cs"/>
          <w:rtl/>
        </w:rPr>
        <w:t xml:space="preserve">روایت حفص بن </w:t>
      </w:r>
      <w:r w:rsidR="00C845A3">
        <w:rPr>
          <w:rFonts w:hint="cs"/>
          <w:rtl/>
        </w:rPr>
        <w:t>غیاث</w:t>
      </w:r>
      <w:r>
        <w:rPr>
          <w:rFonts w:hint="cs"/>
          <w:rtl/>
        </w:rPr>
        <w:t xml:space="preserve"> در مورد اماریت ید وارد شده است که مضمون آن این است: اگر شخصی مالی را در دست کسی دید می تواند به مالکیت او شهادت </w:t>
      </w:r>
      <w:r w:rsidR="00C845A3">
        <w:rPr>
          <w:rFonts w:hint="cs"/>
          <w:rtl/>
        </w:rPr>
        <w:t xml:space="preserve">دهد؛ زیرا اگر چنین نباشد، برای مسلمانان بازاری باقی نمی ماند. </w:t>
      </w:r>
    </w:p>
    <w:p w:rsidR="00080E6B" w:rsidRDefault="00CB17A0" w:rsidP="00C845A3">
      <w:pPr>
        <w:rPr>
          <w:rtl/>
        </w:rPr>
      </w:pPr>
      <w:r w:rsidRPr="00CB17A0">
        <w:rPr>
          <w:rFonts w:hint="cs"/>
          <w:color w:val="008000"/>
          <w:rtl/>
        </w:rPr>
        <w:t>«</w:t>
      </w:r>
      <w:r w:rsidRPr="00CB17A0">
        <w:rPr>
          <w:color w:val="008000"/>
          <w:rtl/>
        </w:rPr>
        <w:t>مُحَمَّدُ بْنُ يَعْقُوبَ عَنْ عَلِيِّ بْنِ إِبْرَاهِيمَ عَنْ أَبِيهِ وَ عَلِيِّ بْنِ مُحَمَّدٍ الْقَاسَانِيِّ جَمِيعاً عَنِ (الْقَاسِمِ بْنِ يَحْيَى) عَنْ سُلَيْمَانَ بْنِ دَاوُدَ عَنْ حَفْصِ بْنِ غِيَاثٍ عَنْ أَبِي عَبْدِ اللَّهِ ع قَالَ: قَالَ لَهُ رَجُلٌ إِذَا رَأَيْتُ شَيْئاً فِي يَدَيْ رَجُلٍ يَجُوزُ لِي أَنْ أَشْهَدَ أَنَّهُ لَهُ قَالَ نَعَمْ قَالَ الرَّجُلُ أَشْهَدُ أَنَّهُ فِي يَدِهِ وَ لَا أَشْهَدُ أَنَّهُ لَهُ فَلَعَلَّهُ لِغَيْرِهِ فَقَالَ أَبُو عَبْدِ اللَّهِ ع- أَ فَيَحِلُّ الشِّرَاءُ مِنْهُ قَالَ نَعَمْ فَقَالَ أَبُو عَبْدِ اللَّهِ ع فَلَعَلَّهُ لِغَيْرِهِ فَمِنْ أَيْنَ جَازَ لَكَ أَنْ تَشْتَرِيَهُ وَ يَصِيرَ مِلْكاً لَكَ ثُمَّ تَقُولَ بَعْدَ الْمِلْكِ هُوَ لِي وَ تَحْلِفَ عَلَيْهِ وَ لَا يَجُوزُ أَنْ تَنْسُبَهُ إِلَى مَنْ صَارَ مِلْكُهُ مِنْ قِبَلِهِ إِلَيْكَ ثُمَّ قَالَ أَبُو عَبْدِ اللَّهِ ع لَوْ لَمْ يَجُزْ</w:t>
      </w:r>
      <w:r w:rsidRPr="00CB17A0">
        <w:rPr>
          <w:color w:val="008000"/>
        </w:rPr>
        <w:t xml:space="preserve"> </w:t>
      </w:r>
      <w:r w:rsidRPr="00CB17A0">
        <w:rPr>
          <w:color w:val="008000"/>
          <w:rtl/>
        </w:rPr>
        <w:t>هَذَا لَمْ يَقُمْ لِلْمُسْلِمِينَ سُوقٌ.</w:t>
      </w:r>
      <w:r w:rsidRPr="00CB17A0">
        <w:rPr>
          <w:rFonts w:hint="cs"/>
          <w:color w:val="008000"/>
          <w:rtl/>
        </w:rPr>
        <w:t>»</w:t>
      </w:r>
      <w:r>
        <w:rPr>
          <w:rStyle w:val="ab"/>
          <w:color w:val="008000"/>
          <w:rtl/>
        </w:rPr>
        <w:footnoteReference w:id="1"/>
      </w:r>
      <w:r w:rsidR="008C540F">
        <w:rPr>
          <w:rFonts w:hint="cs"/>
          <w:rtl/>
        </w:rPr>
        <w:t xml:space="preserve"> </w:t>
      </w:r>
    </w:p>
    <w:p w:rsidR="008C540F" w:rsidRDefault="008C540F" w:rsidP="00781C9E">
      <w:pPr>
        <w:jc w:val="both"/>
        <w:rPr>
          <w:rtl/>
        </w:rPr>
      </w:pPr>
      <w:r>
        <w:rPr>
          <w:rFonts w:hint="cs"/>
          <w:rtl/>
        </w:rPr>
        <w:t>این روایت در مورد اماریت ید برای ملکیت وارد شده است</w:t>
      </w:r>
      <w:r w:rsidR="00C845A3">
        <w:rPr>
          <w:rFonts w:hint="cs"/>
          <w:rtl/>
        </w:rPr>
        <w:t>.</w:t>
      </w:r>
    </w:p>
    <w:p w:rsidR="00C845A3" w:rsidRDefault="00C845A3" w:rsidP="00C845A3">
      <w:pPr>
        <w:pStyle w:val="30"/>
        <w:rPr>
          <w:rtl/>
        </w:rPr>
      </w:pPr>
      <w:bookmarkStart w:id="7" w:name="_Toc534523063"/>
      <w:r>
        <w:rPr>
          <w:rFonts w:hint="cs"/>
          <w:rtl/>
        </w:rPr>
        <w:t>بررسی سندی</w:t>
      </w:r>
      <w:bookmarkEnd w:id="7"/>
    </w:p>
    <w:p w:rsidR="0004752E" w:rsidRDefault="008C540F" w:rsidP="008C7BE0">
      <w:pPr>
        <w:pStyle w:val="af4"/>
        <w:numPr>
          <w:ilvl w:val="0"/>
          <w:numId w:val="16"/>
        </w:numPr>
        <w:jc w:val="both"/>
      </w:pPr>
      <w:r>
        <w:rPr>
          <w:rFonts w:hint="cs"/>
          <w:rtl/>
        </w:rPr>
        <w:t xml:space="preserve">حفص بن </w:t>
      </w:r>
      <w:r w:rsidR="00C845A3">
        <w:rPr>
          <w:rFonts w:hint="cs"/>
          <w:rtl/>
        </w:rPr>
        <w:t>غیاث</w:t>
      </w:r>
      <w:r w:rsidR="0004752E">
        <w:rPr>
          <w:rFonts w:hint="cs"/>
          <w:rtl/>
        </w:rPr>
        <w:t xml:space="preserve"> ؛ </w:t>
      </w:r>
      <w:r w:rsidR="008C7BE0">
        <w:rPr>
          <w:rFonts w:hint="cs"/>
          <w:rtl/>
        </w:rPr>
        <w:t>شیخ طوسی فرموده است: او عامی است و کتاب معتمدی دارد.</w:t>
      </w:r>
      <w:r w:rsidR="008C7BE0">
        <w:rPr>
          <w:rStyle w:val="ab"/>
          <w:rtl/>
        </w:rPr>
        <w:footnoteReference w:id="2"/>
      </w:r>
    </w:p>
    <w:p w:rsidR="0004752E" w:rsidRDefault="00C845A3" w:rsidP="0004752E">
      <w:pPr>
        <w:pStyle w:val="af4"/>
        <w:numPr>
          <w:ilvl w:val="0"/>
          <w:numId w:val="16"/>
        </w:numPr>
        <w:jc w:val="both"/>
      </w:pPr>
      <w:r>
        <w:rPr>
          <w:rFonts w:hint="cs"/>
          <w:rtl/>
        </w:rPr>
        <w:t>سلیمان بن داوود منقری</w:t>
      </w:r>
      <w:r w:rsidR="0004752E">
        <w:rPr>
          <w:rFonts w:hint="cs"/>
          <w:rtl/>
        </w:rPr>
        <w:t>؛</w:t>
      </w:r>
      <w:r>
        <w:rPr>
          <w:rFonts w:hint="cs"/>
          <w:rtl/>
        </w:rPr>
        <w:t xml:space="preserve"> نجاشی توثیقش کرده</w:t>
      </w:r>
      <w:r w:rsidR="00920989">
        <w:rPr>
          <w:rStyle w:val="ab"/>
          <w:rtl/>
        </w:rPr>
        <w:footnoteReference w:id="3"/>
      </w:r>
      <w:r>
        <w:rPr>
          <w:rFonts w:hint="cs"/>
          <w:rtl/>
        </w:rPr>
        <w:t xml:space="preserve"> ولو ابن غضائری</w:t>
      </w:r>
      <w:r w:rsidR="00920989">
        <w:rPr>
          <w:rStyle w:val="ab"/>
          <w:rtl/>
        </w:rPr>
        <w:footnoteReference w:id="4"/>
      </w:r>
      <w:r>
        <w:rPr>
          <w:rFonts w:hint="cs"/>
          <w:rtl/>
        </w:rPr>
        <w:t xml:space="preserve"> تضعیف نموده. </w:t>
      </w:r>
    </w:p>
    <w:p w:rsidR="0004752E" w:rsidRDefault="008C540F" w:rsidP="0004752E">
      <w:pPr>
        <w:pStyle w:val="af4"/>
        <w:numPr>
          <w:ilvl w:val="0"/>
          <w:numId w:val="16"/>
        </w:numPr>
        <w:jc w:val="both"/>
      </w:pPr>
      <w:r>
        <w:rPr>
          <w:rFonts w:hint="cs"/>
          <w:rtl/>
        </w:rPr>
        <w:t>قاسم بن یحیی</w:t>
      </w:r>
      <w:r w:rsidR="0004752E">
        <w:rPr>
          <w:rFonts w:hint="cs"/>
          <w:rtl/>
        </w:rPr>
        <w:t>/قاسم بن محمد؛</w:t>
      </w:r>
      <w:r>
        <w:rPr>
          <w:rFonts w:hint="cs"/>
          <w:rtl/>
        </w:rPr>
        <w:t xml:space="preserve"> </w:t>
      </w:r>
      <w:r w:rsidR="0004752E">
        <w:rPr>
          <w:rFonts w:hint="cs"/>
          <w:rtl/>
        </w:rPr>
        <w:t>آن چه در این روایت است مردد بین این دو نفر است.</w:t>
      </w:r>
    </w:p>
    <w:p w:rsidR="002A0B73" w:rsidRDefault="0004752E" w:rsidP="00C21875">
      <w:pPr>
        <w:pStyle w:val="af4"/>
        <w:jc w:val="both"/>
        <w:rPr>
          <w:rtl/>
        </w:rPr>
      </w:pPr>
      <w:r>
        <w:rPr>
          <w:rFonts w:hint="cs"/>
          <w:rtl/>
        </w:rPr>
        <w:t>اگر</w:t>
      </w:r>
      <w:r w:rsidR="005011A3">
        <w:rPr>
          <w:rFonts w:hint="cs"/>
          <w:rtl/>
        </w:rPr>
        <w:t xml:space="preserve"> قاسم</w:t>
      </w:r>
      <w:r>
        <w:rPr>
          <w:rFonts w:hint="cs"/>
          <w:rtl/>
        </w:rPr>
        <w:t xml:space="preserve"> ابن</w:t>
      </w:r>
      <w:r w:rsidR="008C540F">
        <w:rPr>
          <w:rFonts w:hint="cs"/>
          <w:rtl/>
        </w:rPr>
        <w:t xml:space="preserve"> یحیی باشد</w:t>
      </w:r>
      <w:r>
        <w:rPr>
          <w:rFonts w:hint="cs"/>
          <w:rtl/>
        </w:rPr>
        <w:t>،</w:t>
      </w:r>
      <w:r w:rsidR="008C540F">
        <w:rPr>
          <w:rFonts w:hint="cs"/>
          <w:rtl/>
        </w:rPr>
        <w:t xml:space="preserve"> توثیق خاص ندارد لکن مرحوم صدوق در</w:t>
      </w:r>
      <w:r>
        <w:rPr>
          <w:rFonts w:hint="cs"/>
          <w:rtl/>
        </w:rPr>
        <w:t xml:space="preserve"> مورد بعضی از زیارتنامه</w:t>
      </w:r>
      <w:r w:rsidR="005011A3">
        <w:rPr>
          <w:rFonts w:hint="cs"/>
          <w:rtl/>
        </w:rPr>
        <w:t xml:space="preserve"> ای</w:t>
      </w:r>
      <w:r>
        <w:rPr>
          <w:rFonts w:hint="cs"/>
          <w:rtl/>
        </w:rPr>
        <w:t xml:space="preserve"> </w:t>
      </w:r>
      <w:r w:rsidR="008C540F">
        <w:rPr>
          <w:rFonts w:hint="cs"/>
          <w:rtl/>
        </w:rPr>
        <w:t xml:space="preserve">که برای </w:t>
      </w:r>
      <w:r w:rsidR="00C845A3">
        <w:rPr>
          <w:rFonts w:hint="cs"/>
          <w:rtl/>
        </w:rPr>
        <w:t>امام حسین ع</w:t>
      </w:r>
      <w:r>
        <w:rPr>
          <w:rFonts w:hint="cs"/>
          <w:rtl/>
        </w:rPr>
        <w:t xml:space="preserve"> نقل کرده </w:t>
      </w:r>
      <w:r w:rsidR="002A0B73">
        <w:rPr>
          <w:rFonts w:hint="cs"/>
          <w:rtl/>
        </w:rPr>
        <w:t xml:space="preserve">فرموده است که </w:t>
      </w:r>
      <w:r w:rsidR="008C540F">
        <w:rPr>
          <w:rFonts w:hint="cs"/>
          <w:rtl/>
        </w:rPr>
        <w:t xml:space="preserve">این  </w:t>
      </w:r>
      <w:proofErr w:type="spellStart"/>
      <w:r w:rsidR="008C540F">
        <w:rPr>
          <w:rFonts w:hint="cs"/>
          <w:rtl/>
        </w:rPr>
        <w:t>اصح</w:t>
      </w:r>
      <w:proofErr w:type="spellEnd"/>
      <w:r w:rsidR="008C540F">
        <w:rPr>
          <w:rFonts w:hint="cs"/>
          <w:rtl/>
        </w:rPr>
        <w:t xml:space="preserve"> </w:t>
      </w:r>
      <w:proofErr w:type="spellStart"/>
      <w:r w:rsidR="00C845A3">
        <w:rPr>
          <w:rFonts w:hint="cs"/>
          <w:rtl/>
        </w:rPr>
        <w:t>زیارات</w:t>
      </w:r>
      <w:proofErr w:type="spellEnd"/>
      <w:r w:rsidR="00C21875">
        <w:rPr>
          <w:rFonts w:hint="cs"/>
          <w:rtl/>
        </w:rPr>
        <w:t xml:space="preserve"> </w:t>
      </w:r>
      <w:proofErr w:type="spellStart"/>
      <w:r w:rsidR="00C21875">
        <w:rPr>
          <w:rFonts w:hint="cs"/>
          <w:rtl/>
        </w:rPr>
        <w:t>ازطريق</w:t>
      </w:r>
      <w:proofErr w:type="spellEnd"/>
      <w:r w:rsidR="00C21875">
        <w:rPr>
          <w:rFonts w:hint="cs"/>
          <w:rtl/>
        </w:rPr>
        <w:t xml:space="preserve"> </w:t>
      </w:r>
      <w:proofErr w:type="spellStart"/>
      <w:r w:rsidR="00C21875">
        <w:rPr>
          <w:rFonts w:hint="cs"/>
          <w:rtl/>
        </w:rPr>
        <w:t>روايت</w:t>
      </w:r>
      <w:proofErr w:type="spellEnd"/>
      <w:r w:rsidR="002A0B73">
        <w:rPr>
          <w:rFonts w:hint="cs"/>
          <w:rtl/>
        </w:rPr>
        <w:t xml:space="preserve"> است</w:t>
      </w:r>
      <w:r w:rsidR="005011A3">
        <w:rPr>
          <w:rFonts w:hint="cs"/>
          <w:rtl/>
        </w:rPr>
        <w:t>، اتفاقا این زیارت</w:t>
      </w:r>
      <w:r w:rsidR="002A0B73">
        <w:rPr>
          <w:rFonts w:hint="cs"/>
          <w:rtl/>
        </w:rPr>
        <w:t xml:space="preserve"> از طریق قاسم بن یحیی نقل شده </w:t>
      </w:r>
      <w:r w:rsidR="005011A3">
        <w:rPr>
          <w:rFonts w:hint="cs"/>
          <w:rtl/>
        </w:rPr>
        <w:t>است</w:t>
      </w:r>
      <w:r w:rsidR="002A0B73">
        <w:rPr>
          <w:rFonts w:hint="cs"/>
          <w:rtl/>
        </w:rPr>
        <w:t>.</w:t>
      </w:r>
      <w:r w:rsidR="00C845A3">
        <w:rPr>
          <w:rFonts w:hint="cs"/>
          <w:rtl/>
        </w:rPr>
        <w:t xml:space="preserve"> از این استفاده می شود که </w:t>
      </w:r>
      <w:r>
        <w:rPr>
          <w:rFonts w:hint="cs"/>
          <w:rtl/>
        </w:rPr>
        <w:t xml:space="preserve">ایشان قائل به وثاقت </w:t>
      </w:r>
      <w:proofErr w:type="spellStart"/>
      <w:r>
        <w:rPr>
          <w:rFonts w:hint="cs"/>
          <w:rtl/>
        </w:rPr>
        <w:t>روا</w:t>
      </w:r>
      <w:r w:rsidR="00C21875">
        <w:rPr>
          <w:rFonts w:hint="cs"/>
          <w:rtl/>
        </w:rPr>
        <w:t>ت</w:t>
      </w:r>
      <w:proofErr w:type="spellEnd"/>
      <w:r>
        <w:rPr>
          <w:rFonts w:hint="cs"/>
          <w:rtl/>
        </w:rPr>
        <w:t xml:space="preserve"> این زیارت</w:t>
      </w:r>
      <w:r w:rsidR="005011A3">
        <w:rPr>
          <w:rFonts w:hint="cs"/>
          <w:rtl/>
        </w:rPr>
        <w:t>نامه(</w:t>
      </w:r>
      <w:r w:rsidR="002A0B73">
        <w:rPr>
          <w:rFonts w:hint="cs"/>
          <w:rtl/>
        </w:rPr>
        <w:t>از جمله قاسم بن یحیی) است.</w:t>
      </w:r>
      <w:r w:rsidR="005011A3">
        <w:rPr>
          <w:rStyle w:val="ab"/>
          <w:rtl/>
        </w:rPr>
        <w:footnoteReference w:id="5"/>
      </w:r>
    </w:p>
    <w:p w:rsidR="000A2650" w:rsidRDefault="000A2650" w:rsidP="002A0B73">
      <w:pPr>
        <w:pStyle w:val="af4"/>
        <w:jc w:val="both"/>
        <w:rPr>
          <w:rtl/>
        </w:rPr>
      </w:pPr>
      <w:r>
        <w:rPr>
          <w:rFonts w:hint="cs"/>
          <w:rtl/>
        </w:rPr>
        <w:t xml:space="preserve">اما قاسم </w:t>
      </w:r>
      <w:r w:rsidR="00C9189A">
        <w:rPr>
          <w:rFonts w:hint="cs"/>
          <w:rtl/>
        </w:rPr>
        <w:t>بن محمد هم محل بحث است اصفهانی یا</w:t>
      </w:r>
      <w:r>
        <w:rPr>
          <w:rFonts w:hint="cs"/>
          <w:rtl/>
        </w:rPr>
        <w:t xml:space="preserve"> کاسولا، اولا آیا یکی هستند یا دو نفی. اگر یکی باشند توثیق وارد شده است.</w:t>
      </w:r>
    </w:p>
    <w:p w:rsidR="000A2650" w:rsidRDefault="002A0B73" w:rsidP="002A0B73">
      <w:pPr>
        <w:jc w:val="both"/>
        <w:rPr>
          <w:rtl/>
        </w:rPr>
      </w:pPr>
      <w:r w:rsidRPr="002A0B73">
        <w:rPr>
          <w:rFonts w:hint="cs"/>
          <w:highlight w:val="yellow"/>
          <w:rtl/>
        </w:rPr>
        <w:lastRenderedPageBreak/>
        <w:t>لذا در مجموع سند این روایت قابل اعتماد است</w:t>
      </w:r>
      <w:r>
        <w:rPr>
          <w:rFonts w:hint="cs"/>
          <w:rtl/>
        </w:rPr>
        <w:t>،</w:t>
      </w:r>
      <w:r w:rsidR="000A2650">
        <w:rPr>
          <w:rFonts w:hint="cs"/>
          <w:rtl/>
        </w:rPr>
        <w:t xml:space="preserve"> اگر چه علما به سند این روایت اشکال دا</w:t>
      </w:r>
      <w:r w:rsidR="00C9189A">
        <w:rPr>
          <w:rFonts w:hint="cs"/>
          <w:rtl/>
        </w:rPr>
        <w:t xml:space="preserve">رند و تعبیر به « مع الغمض عن سنده» بکار </w:t>
      </w:r>
      <w:r>
        <w:rPr>
          <w:rFonts w:hint="cs"/>
          <w:rtl/>
        </w:rPr>
        <w:t>برده اند</w:t>
      </w:r>
      <w:r w:rsidR="00C9189A">
        <w:rPr>
          <w:rFonts w:hint="cs"/>
          <w:rtl/>
        </w:rPr>
        <w:t>.</w:t>
      </w:r>
    </w:p>
    <w:p w:rsidR="00C9189A" w:rsidRDefault="00C9189A" w:rsidP="00C9189A">
      <w:pPr>
        <w:pStyle w:val="30"/>
      </w:pPr>
      <w:bookmarkStart w:id="8" w:name="_Toc534523064"/>
      <w:r>
        <w:rPr>
          <w:rFonts w:hint="cs"/>
          <w:rtl/>
        </w:rPr>
        <w:t>بررسی دلالی</w:t>
      </w:r>
      <w:bookmarkEnd w:id="8"/>
    </w:p>
    <w:p w:rsidR="000A2650" w:rsidRDefault="000A2650" w:rsidP="005011A3">
      <w:pPr>
        <w:jc w:val="both"/>
        <w:rPr>
          <w:rtl/>
        </w:rPr>
      </w:pPr>
      <w:r>
        <w:rPr>
          <w:rFonts w:hint="cs"/>
          <w:rtl/>
        </w:rPr>
        <w:t>گفته شده است که به فحوای این</w:t>
      </w:r>
      <w:r w:rsidR="002A0B73">
        <w:rPr>
          <w:rFonts w:hint="cs"/>
          <w:rtl/>
        </w:rPr>
        <w:t xml:space="preserve"> روایت می توان</w:t>
      </w:r>
      <w:r>
        <w:rPr>
          <w:rFonts w:hint="cs"/>
          <w:rtl/>
        </w:rPr>
        <w:t xml:space="preserve"> برای </w:t>
      </w:r>
      <w:r w:rsidR="00C9189A">
        <w:rPr>
          <w:rFonts w:hint="cs"/>
          <w:rtl/>
        </w:rPr>
        <w:t>قاعده اصاله الصحه</w:t>
      </w:r>
      <w:r w:rsidR="002A0B73">
        <w:rPr>
          <w:rFonts w:hint="cs"/>
          <w:rtl/>
        </w:rPr>
        <w:t xml:space="preserve"> استدلال کرد</w:t>
      </w:r>
      <w:r w:rsidR="00C9189A">
        <w:rPr>
          <w:rFonts w:hint="cs"/>
          <w:rtl/>
        </w:rPr>
        <w:t xml:space="preserve">؛ زیرا این روایت </w:t>
      </w:r>
      <w:r w:rsidR="002A0B73">
        <w:rPr>
          <w:rFonts w:hint="cs"/>
          <w:rtl/>
        </w:rPr>
        <w:t>در مورد قاعده ید وارد شده است</w:t>
      </w:r>
      <w:r w:rsidR="00C9189A">
        <w:rPr>
          <w:rFonts w:hint="cs"/>
          <w:rtl/>
        </w:rPr>
        <w:t xml:space="preserve"> و امام ع </w:t>
      </w:r>
      <w:r w:rsidR="002A0B73">
        <w:rPr>
          <w:rFonts w:hint="cs"/>
          <w:rtl/>
        </w:rPr>
        <w:t xml:space="preserve">فرموده است </w:t>
      </w:r>
      <w:r w:rsidR="00C9189A">
        <w:rPr>
          <w:rFonts w:hint="cs"/>
          <w:rtl/>
        </w:rPr>
        <w:t>که اگر قاعده ید نباشد سوق مسلمین اختلال پیدا می شود.</w:t>
      </w:r>
      <w:r w:rsidR="002A0B73">
        <w:rPr>
          <w:rFonts w:hint="cs"/>
          <w:rtl/>
        </w:rPr>
        <w:t xml:space="preserve"> از طرفی هم</w:t>
      </w:r>
      <w:r w:rsidR="00C9189A">
        <w:rPr>
          <w:rFonts w:hint="cs"/>
          <w:rtl/>
        </w:rPr>
        <w:t xml:space="preserve"> اگر به </w:t>
      </w:r>
      <w:r w:rsidR="00C21875">
        <w:rPr>
          <w:rFonts w:hint="cs"/>
          <w:rtl/>
        </w:rPr>
        <w:t xml:space="preserve">احتمال </w:t>
      </w:r>
      <w:r w:rsidR="00C9189A">
        <w:rPr>
          <w:rFonts w:hint="cs"/>
          <w:rtl/>
        </w:rPr>
        <w:t xml:space="preserve">صحت در موارد شک ترتیب اثر ندهیم </w:t>
      </w:r>
      <w:proofErr w:type="spellStart"/>
      <w:r w:rsidR="00C21875">
        <w:rPr>
          <w:rFonts w:hint="cs"/>
          <w:rtl/>
        </w:rPr>
        <w:t>وحمل</w:t>
      </w:r>
      <w:proofErr w:type="spellEnd"/>
      <w:r w:rsidR="00C21875">
        <w:rPr>
          <w:rFonts w:hint="cs"/>
          <w:rtl/>
        </w:rPr>
        <w:t xml:space="preserve"> </w:t>
      </w:r>
      <w:proofErr w:type="spellStart"/>
      <w:r w:rsidR="00C21875">
        <w:rPr>
          <w:rFonts w:hint="cs"/>
          <w:rtl/>
        </w:rPr>
        <w:t>برصحت</w:t>
      </w:r>
      <w:proofErr w:type="spellEnd"/>
      <w:r w:rsidR="00C21875">
        <w:rPr>
          <w:rFonts w:hint="cs"/>
          <w:rtl/>
        </w:rPr>
        <w:t xml:space="preserve"> </w:t>
      </w:r>
      <w:proofErr w:type="spellStart"/>
      <w:r w:rsidR="00C21875">
        <w:rPr>
          <w:rFonts w:hint="cs"/>
          <w:rtl/>
        </w:rPr>
        <w:t>نکنيم</w:t>
      </w:r>
      <w:proofErr w:type="spellEnd"/>
      <w:r w:rsidR="00C21875">
        <w:rPr>
          <w:rFonts w:hint="cs"/>
          <w:rtl/>
        </w:rPr>
        <w:t xml:space="preserve"> </w:t>
      </w:r>
      <w:r w:rsidR="00C9189A">
        <w:rPr>
          <w:rFonts w:hint="cs"/>
          <w:rtl/>
        </w:rPr>
        <w:t>اختلال شدید تری رخ می دهد.</w:t>
      </w:r>
      <w:r w:rsidR="002A0B73">
        <w:rPr>
          <w:rFonts w:hint="cs"/>
          <w:rtl/>
        </w:rPr>
        <w:t xml:space="preserve"> در نتیجه به مفاد این روایت اصاله الصحه ثابت می شود.</w:t>
      </w:r>
      <w:r w:rsidR="00B8114E">
        <w:rPr>
          <w:rFonts w:hint="cs"/>
          <w:rtl/>
        </w:rPr>
        <w:t xml:space="preserve"> </w:t>
      </w:r>
    </w:p>
    <w:p w:rsidR="00B8114E" w:rsidRDefault="00B81CCF" w:rsidP="00043180">
      <w:pPr>
        <w:rPr>
          <w:rtl/>
        </w:rPr>
      </w:pPr>
      <w:r>
        <w:rPr>
          <w:rFonts w:hint="cs"/>
          <w:rtl/>
        </w:rPr>
        <w:t>در کلام مرحوم نائینی</w:t>
      </w:r>
      <w:r w:rsidR="00816A2A">
        <w:rPr>
          <w:rStyle w:val="ab"/>
          <w:rtl/>
        </w:rPr>
        <w:footnoteReference w:id="6"/>
      </w:r>
      <w:r>
        <w:rPr>
          <w:rFonts w:hint="cs"/>
          <w:rtl/>
        </w:rPr>
        <w:t xml:space="preserve"> و خوئی</w:t>
      </w:r>
      <w:r w:rsidR="005011A3">
        <w:rPr>
          <w:rStyle w:val="ab"/>
          <w:rtl/>
        </w:rPr>
        <w:footnoteReference w:id="7"/>
      </w:r>
      <w:r>
        <w:rPr>
          <w:rFonts w:hint="cs"/>
          <w:rtl/>
        </w:rPr>
        <w:t xml:space="preserve"> به این صورت بیان شده است لکن اصل این بیان از مرحوم شیخ است</w:t>
      </w:r>
      <w:r w:rsidR="00043180">
        <w:rPr>
          <w:rFonts w:hint="cs"/>
          <w:rtl/>
        </w:rPr>
        <w:t>.</w:t>
      </w:r>
      <w:r w:rsidR="00043180">
        <w:t xml:space="preserve"> </w:t>
      </w:r>
      <w:r w:rsidR="00043180">
        <w:rPr>
          <w:rFonts w:hint="cs"/>
          <w:rtl/>
        </w:rPr>
        <w:t xml:space="preserve"> ایشان</w:t>
      </w:r>
      <w:r>
        <w:rPr>
          <w:rFonts w:hint="cs"/>
          <w:rtl/>
        </w:rPr>
        <w:t xml:space="preserve"> در بحث </w:t>
      </w:r>
      <w:r w:rsidRPr="00C21875">
        <w:rPr>
          <w:rFonts w:hint="cs"/>
          <w:rtl/>
        </w:rPr>
        <w:t xml:space="preserve">استدلال به دلیل عقلی بر </w:t>
      </w:r>
      <w:proofErr w:type="spellStart"/>
      <w:r w:rsidRPr="00C21875">
        <w:rPr>
          <w:rFonts w:hint="cs"/>
          <w:rtl/>
        </w:rPr>
        <w:t>اصاله</w:t>
      </w:r>
      <w:proofErr w:type="spellEnd"/>
      <w:r w:rsidRPr="00C21875">
        <w:rPr>
          <w:rFonts w:hint="cs"/>
          <w:rtl/>
        </w:rPr>
        <w:t xml:space="preserve"> </w:t>
      </w:r>
      <w:proofErr w:type="spellStart"/>
      <w:r w:rsidRPr="00C21875">
        <w:rPr>
          <w:rFonts w:hint="cs"/>
          <w:rtl/>
        </w:rPr>
        <w:t>الصحه</w:t>
      </w:r>
      <w:proofErr w:type="spellEnd"/>
      <w:r w:rsidRPr="00C21875">
        <w:rPr>
          <w:rFonts w:hint="cs"/>
          <w:rtl/>
        </w:rPr>
        <w:t xml:space="preserve"> </w:t>
      </w:r>
      <w:proofErr w:type="spellStart"/>
      <w:r w:rsidR="008F3B88" w:rsidRPr="00C21875">
        <w:rPr>
          <w:rFonts w:hint="cs"/>
          <w:rtl/>
        </w:rPr>
        <w:t>ابتداء</w:t>
      </w:r>
      <w:proofErr w:type="spellEnd"/>
      <w:r w:rsidR="008F3B88" w:rsidRPr="00C21875">
        <w:rPr>
          <w:rFonts w:hint="cs"/>
          <w:rtl/>
        </w:rPr>
        <w:t xml:space="preserve"> </w:t>
      </w:r>
      <w:proofErr w:type="spellStart"/>
      <w:r w:rsidR="008F3B88" w:rsidRPr="00C21875">
        <w:rPr>
          <w:rFonts w:hint="cs"/>
          <w:rtl/>
        </w:rPr>
        <w:t>از</w:t>
      </w:r>
      <w:r w:rsidR="00C21875" w:rsidRPr="00C21875">
        <w:rPr>
          <w:rFonts w:hint="cs"/>
          <w:rtl/>
        </w:rPr>
        <w:t>راه</w:t>
      </w:r>
      <w:proofErr w:type="spellEnd"/>
      <w:r w:rsidR="00C21875" w:rsidRPr="00C21875">
        <w:rPr>
          <w:rFonts w:hint="cs"/>
          <w:rtl/>
        </w:rPr>
        <w:t xml:space="preserve"> حکم </w:t>
      </w:r>
      <w:proofErr w:type="spellStart"/>
      <w:r w:rsidR="00C21875" w:rsidRPr="00C21875">
        <w:rPr>
          <w:rFonts w:hint="cs"/>
          <w:rtl/>
        </w:rPr>
        <w:t>عقلي</w:t>
      </w:r>
      <w:proofErr w:type="spellEnd"/>
      <w:r w:rsidR="00C21875" w:rsidRPr="00C21875">
        <w:rPr>
          <w:rFonts w:hint="cs"/>
          <w:rtl/>
        </w:rPr>
        <w:t xml:space="preserve"> _که </w:t>
      </w:r>
      <w:proofErr w:type="spellStart"/>
      <w:r w:rsidR="00C21875" w:rsidRPr="00C21875">
        <w:rPr>
          <w:rFonts w:hint="cs"/>
          <w:rtl/>
        </w:rPr>
        <w:t>اگرحمل</w:t>
      </w:r>
      <w:proofErr w:type="spellEnd"/>
      <w:r w:rsidR="00C21875" w:rsidRPr="00C21875">
        <w:rPr>
          <w:rFonts w:hint="cs"/>
          <w:rtl/>
        </w:rPr>
        <w:t xml:space="preserve"> </w:t>
      </w:r>
      <w:proofErr w:type="spellStart"/>
      <w:r w:rsidR="00C21875" w:rsidRPr="00C21875">
        <w:rPr>
          <w:rFonts w:hint="cs"/>
          <w:rtl/>
        </w:rPr>
        <w:t>برصحت</w:t>
      </w:r>
      <w:proofErr w:type="spellEnd"/>
      <w:r w:rsidR="00C21875" w:rsidRPr="00C21875">
        <w:rPr>
          <w:rFonts w:hint="cs"/>
          <w:rtl/>
        </w:rPr>
        <w:t xml:space="preserve"> نشود اختلال نظام معاد </w:t>
      </w:r>
      <w:proofErr w:type="spellStart"/>
      <w:r w:rsidR="00C21875" w:rsidRPr="00C21875">
        <w:rPr>
          <w:rFonts w:hint="cs"/>
          <w:rtl/>
        </w:rPr>
        <w:t>ومعاش</w:t>
      </w:r>
      <w:proofErr w:type="spellEnd"/>
      <w:r w:rsidR="00C21875" w:rsidRPr="00C21875">
        <w:rPr>
          <w:rFonts w:hint="cs"/>
          <w:rtl/>
        </w:rPr>
        <w:t xml:space="preserve"> لازم می </w:t>
      </w:r>
      <w:proofErr w:type="spellStart"/>
      <w:r w:rsidR="00C21875" w:rsidRPr="00C21875">
        <w:rPr>
          <w:rFonts w:hint="cs"/>
          <w:rtl/>
        </w:rPr>
        <w:t>آيد</w:t>
      </w:r>
      <w:proofErr w:type="spellEnd"/>
      <w:r w:rsidR="00C21875" w:rsidRPr="00C21875">
        <w:rPr>
          <w:rFonts w:hint="cs"/>
          <w:rtl/>
        </w:rPr>
        <w:t xml:space="preserve"> _ وارد شده </w:t>
      </w:r>
      <w:proofErr w:type="spellStart"/>
      <w:r w:rsidR="00C21875" w:rsidRPr="00C21875">
        <w:rPr>
          <w:rFonts w:hint="cs"/>
          <w:rtl/>
        </w:rPr>
        <w:t>اند</w:t>
      </w:r>
      <w:proofErr w:type="spellEnd"/>
      <w:r w:rsidR="00C21875" w:rsidRPr="00C21875">
        <w:rPr>
          <w:rFonts w:hint="cs"/>
          <w:rtl/>
        </w:rPr>
        <w:t xml:space="preserve"> بعد از</w:t>
      </w:r>
      <w:r w:rsidR="008F3B88" w:rsidRPr="00C21875">
        <w:rPr>
          <w:rFonts w:hint="cs"/>
          <w:rtl/>
        </w:rPr>
        <w:t xml:space="preserve"> طریق </w:t>
      </w:r>
      <w:proofErr w:type="spellStart"/>
      <w:r w:rsidR="008F3B88" w:rsidRPr="00C21875">
        <w:rPr>
          <w:rFonts w:hint="cs"/>
          <w:rtl/>
        </w:rPr>
        <w:t>فحوای</w:t>
      </w:r>
      <w:proofErr w:type="spellEnd"/>
      <w:r w:rsidR="008F3B88">
        <w:rPr>
          <w:rFonts w:hint="cs"/>
          <w:rtl/>
        </w:rPr>
        <w:t xml:space="preserve"> </w:t>
      </w:r>
      <w:proofErr w:type="spellStart"/>
      <w:r w:rsidR="008F3B88">
        <w:rPr>
          <w:rFonts w:hint="cs"/>
          <w:rtl/>
        </w:rPr>
        <w:t>تعلیل</w:t>
      </w:r>
      <w:proofErr w:type="spellEnd"/>
      <w:r w:rsidR="008F3B88">
        <w:rPr>
          <w:rFonts w:hint="cs"/>
          <w:rtl/>
        </w:rPr>
        <w:t xml:space="preserve"> مذکور در روایت استفاده اصاله الص</w:t>
      </w:r>
      <w:r w:rsidR="00043180">
        <w:rPr>
          <w:rFonts w:hint="cs"/>
          <w:rtl/>
        </w:rPr>
        <w:t>حه می کند و می فرماید که اختلال</w:t>
      </w:r>
      <w:r w:rsidR="008F3B88">
        <w:rPr>
          <w:rFonts w:hint="cs"/>
          <w:rtl/>
        </w:rPr>
        <w:t xml:space="preserve"> نظامی که از عدم جریان اصاله الصحه رخ می دهد </w:t>
      </w:r>
      <w:r w:rsidR="00043180">
        <w:rPr>
          <w:rFonts w:hint="cs"/>
          <w:rtl/>
        </w:rPr>
        <w:t>شدیدتر</w:t>
      </w:r>
      <w:r w:rsidR="008F3B88">
        <w:rPr>
          <w:rFonts w:hint="cs"/>
          <w:rtl/>
        </w:rPr>
        <w:t xml:space="preserve"> از اختلال حاصل از عدم جریان قاعده ید است. اما در ادامه می فرماید که اصلا ظاهر تعلیل مذکور در روایت شامل تمام اموری است که ترکشان موجب اختلال نظام می شود، از جمله اصاله الصحه.</w:t>
      </w:r>
      <w:r w:rsidR="00043180">
        <w:rPr>
          <w:rStyle w:val="ab"/>
          <w:rtl/>
        </w:rPr>
        <w:footnoteReference w:id="8"/>
      </w:r>
    </w:p>
    <w:p w:rsidR="008F3B88" w:rsidRDefault="008F3B88" w:rsidP="00B8114E">
      <w:pPr>
        <w:rPr>
          <w:rtl/>
        </w:rPr>
      </w:pPr>
      <w:r>
        <w:rPr>
          <w:rFonts w:hint="cs"/>
          <w:rtl/>
        </w:rPr>
        <w:t>البته بحث ما در این جا از جهت روایی است و در آینده به جنبه حکم عقل مستقل خواهیم پرداخت.</w:t>
      </w:r>
    </w:p>
    <w:p w:rsidR="008F3B88" w:rsidRDefault="008F3B88" w:rsidP="008F3B88">
      <w:pPr>
        <w:pStyle w:val="40"/>
      </w:pPr>
      <w:bookmarkStart w:id="9" w:name="_Toc534523065"/>
      <w:r>
        <w:rPr>
          <w:rFonts w:hint="cs"/>
          <w:rtl/>
        </w:rPr>
        <w:t>مناقشه</w:t>
      </w:r>
      <w:r w:rsidR="00A06046">
        <w:rPr>
          <w:rFonts w:hint="cs"/>
          <w:rtl/>
        </w:rPr>
        <w:t>(نائینی)</w:t>
      </w:r>
      <w:bookmarkEnd w:id="9"/>
    </w:p>
    <w:p w:rsidR="00B81CCF" w:rsidRDefault="008F3B88" w:rsidP="00816A2A">
      <w:pPr>
        <w:rPr>
          <w:rtl/>
        </w:rPr>
      </w:pPr>
      <w:r>
        <w:rPr>
          <w:rFonts w:hint="cs"/>
          <w:rtl/>
        </w:rPr>
        <w:t xml:space="preserve">مرحوم نائینی  فرموده است: </w:t>
      </w:r>
      <w:r w:rsidR="00B81CCF">
        <w:rPr>
          <w:rFonts w:hint="cs"/>
          <w:rtl/>
        </w:rPr>
        <w:t>فی الجمله این را قبول می کنیم که اگر اصاله الصحه عمل نکنیم اختلال نظام رخ می دهد لکن این در صورتی</w:t>
      </w:r>
      <w:r>
        <w:rPr>
          <w:rFonts w:hint="cs"/>
          <w:rtl/>
        </w:rPr>
        <w:t xml:space="preserve"> است که به قاعده ید هم عمل</w:t>
      </w:r>
      <w:r w:rsidR="00B81CCF">
        <w:rPr>
          <w:rFonts w:hint="cs"/>
          <w:rtl/>
        </w:rPr>
        <w:t xml:space="preserve"> نکنیم، اما اگر</w:t>
      </w:r>
      <w:r>
        <w:rPr>
          <w:rFonts w:hint="cs"/>
          <w:rtl/>
        </w:rPr>
        <w:t xml:space="preserve"> به ید</w:t>
      </w:r>
      <w:r w:rsidR="00B81CCF">
        <w:rPr>
          <w:rFonts w:hint="cs"/>
          <w:rtl/>
        </w:rPr>
        <w:t xml:space="preserve"> اعتناء ک</w:t>
      </w:r>
      <w:r>
        <w:rPr>
          <w:rFonts w:hint="cs"/>
          <w:rtl/>
        </w:rPr>
        <w:t xml:space="preserve">نیم و فقط در مواردی که مورد قاعده ید نیست اصاله </w:t>
      </w:r>
      <w:r>
        <w:rPr>
          <w:rFonts w:hint="cs"/>
          <w:rtl/>
        </w:rPr>
        <w:lastRenderedPageBreak/>
        <w:t xml:space="preserve">الصحه را کنار </w:t>
      </w:r>
      <w:r w:rsidR="002C1341">
        <w:rPr>
          <w:rFonts w:hint="cs"/>
          <w:rtl/>
        </w:rPr>
        <w:t>بگذاریم، اختلال نظام رخ نمی دهد؛ زیرا در بسیاری از موارد مجرای قاعده ید و قاعده اصاله الصحه یکی است.</w:t>
      </w:r>
      <w:r w:rsidR="00816A2A">
        <w:rPr>
          <w:rStyle w:val="ab"/>
          <w:rtl/>
        </w:rPr>
        <w:footnoteReference w:id="9"/>
      </w:r>
    </w:p>
    <w:p w:rsidR="00B81CCF" w:rsidRDefault="004B14EA" w:rsidP="004B14EA">
      <w:pPr>
        <w:pStyle w:val="50"/>
        <w:rPr>
          <w:rtl/>
        </w:rPr>
      </w:pPr>
      <w:bookmarkStart w:id="10" w:name="_Toc534523066"/>
      <w:r>
        <w:rPr>
          <w:rFonts w:hint="cs"/>
          <w:rtl/>
        </w:rPr>
        <w:t>تخلص</w:t>
      </w:r>
      <w:r w:rsidR="00B81CCF">
        <w:rPr>
          <w:rFonts w:hint="cs"/>
          <w:rtl/>
        </w:rPr>
        <w:t>( تبریزی)</w:t>
      </w:r>
      <w:bookmarkEnd w:id="10"/>
    </w:p>
    <w:p w:rsidR="00B81CCF" w:rsidRDefault="002C1341" w:rsidP="002C1341">
      <w:pPr>
        <w:jc w:val="both"/>
        <w:rPr>
          <w:rtl/>
        </w:rPr>
      </w:pPr>
      <w:r>
        <w:rPr>
          <w:rFonts w:hint="cs"/>
          <w:rtl/>
        </w:rPr>
        <w:t>اتفاقا موارد جریان قاعده ید زیاد نیست، زیرا</w:t>
      </w:r>
      <w:r w:rsidR="00A06046">
        <w:rPr>
          <w:rFonts w:hint="cs"/>
          <w:rtl/>
        </w:rPr>
        <w:t xml:space="preserve"> در حقیقت شرایط</w:t>
      </w:r>
      <w:r>
        <w:rPr>
          <w:rFonts w:hint="cs"/>
          <w:rtl/>
        </w:rPr>
        <w:t xml:space="preserve"> جریان قاعده ید وجود ندارد،</w:t>
      </w:r>
      <w:r w:rsidR="00A06046">
        <w:rPr>
          <w:rFonts w:hint="cs"/>
          <w:rtl/>
        </w:rPr>
        <w:t xml:space="preserve"> مثلا در همان مثال کالایی که در دست زید است</w:t>
      </w:r>
      <w:r>
        <w:rPr>
          <w:rFonts w:hint="cs"/>
          <w:rtl/>
        </w:rPr>
        <w:t xml:space="preserve"> و می دانیم این کالا قبلا برای عمرو بوده است</w:t>
      </w:r>
      <w:r w:rsidR="00F80E0E">
        <w:rPr>
          <w:rFonts w:hint="cs"/>
          <w:rtl/>
        </w:rPr>
        <w:t xml:space="preserve"> </w:t>
      </w:r>
      <w:proofErr w:type="spellStart"/>
      <w:r w:rsidR="00F80E0E">
        <w:rPr>
          <w:rFonts w:hint="cs"/>
          <w:rtl/>
        </w:rPr>
        <w:t>وزيد</w:t>
      </w:r>
      <w:proofErr w:type="spellEnd"/>
      <w:r w:rsidR="00F80E0E">
        <w:rPr>
          <w:rFonts w:hint="cs"/>
          <w:rtl/>
        </w:rPr>
        <w:t xml:space="preserve"> می </w:t>
      </w:r>
      <w:proofErr w:type="spellStart"/>
      <w:r w:rsidR="00F80E0E">
        <w:rPr>
          <w:rFonts w:hint="cs"/>
          <w:rtl/>
        </w:rPr>
        <w:t>گويد</w:t>
      </w:r>
      <w:proofErr w:type="spellEnd"/>
      <w:r w:rsidR="00F80E0E">
        <w:rPr>
          <w:rFonts w:hint="cs"/>
          <w:rtl/>
        </w:rPr>
        <w:t xml:space="preserve"> </w:t>
      </w:r>
      <w:proofErr w:type="spellStart"/>
      <w:r w:rsidR="00F80E0E">
        <w:rPr>
          <w:rFonts w:hint="cs"/>
          <w:rtl/>
        </w:rPr>
        <w:t>ازاو</w:t>
      </w:r>
      <w:proofErr w:type="spellEnd"/>
      <w:r w:rsidR="00F80E0E">
        <w:rPr>
          <w:rFonts w:hint="cs"/>
          <w:rtl/>
        </w:rPr>
        <w:t xml:space="preserve"> </w:t>
      </w:r>
      <w:proofErr w:type="spellStart"/>
      <w:r w:rsidR="00F80E0E">
        <w:rPr>
          <w:rFonts w:hint="cs"/>
          <w:rtl/>
        </w:rPr>
        <w:t>خريده</w:t>
      </w:r>
      <w:proofErr w:type="spellEnd"/>
      <w:r w:rsidR="00F80E0E">
        <w:rPr>
          <w:rFonts w:hint="cs"/>
          <w:rtl/>
        </w:rPr>
        <w:t xml:space="preserve"> است</w:t>
      </w:r>
      <w:r>
        <w:rPr>
          <w:rFonts w:hint="cs"/>
          <w:rtl/>
        </w:rPr>
        <w:t>،</w:t>
      </w:r>
      <w:r w:rsidR="00A06046">
        <w:rPr>
          <w:rFonts w:hint="cs"/>
          <w:rtl/>
        </w:rPr>
        <w:t xml:space="preserve"> </w:t>
      </w:r>
      <w:r>
        <w:rPr>
          <w:rFonts w:hint="cs"/>
          <w:rtl/>
        </w:rPr>
        <w:t>وجود حالت سابقه مانع از جریان قاعده ید است،</w:t>
      </w:r>
      <w:r w:rsidR="00A06046">
        <w:rPr>
          <w:rFonts w:hint="cs"/>
          <w:rtl/>
        </w:rPr>
        <w:t xml:space="preserve"> لذ</w:t>
      </w:r>
      <w:r>
        <w:rPr>
          <w:rFonts w:hint="cs"/>
          <w:rtl/>
        </w:rPr>
        <w:t>ا استصحاب عدم ملکیت او جاری است</w:t>
      </w:r>
      <w:r w:rsidR="00A06046">
        <w:rPr>
          <w:rFonts w:hint="cs"/>
          <w:rtl/>
        </w:rPr>
        <w:t xml:space="preserve"> </w:t>
      </w:r>
      <w:r>
        <w:rPr>
          <w:rFonts w:hint="cs"/>
          <w:rtl/>
        </w:rPr>
        <w:t>و اختلال نظام به قوت خود باقی است.</w:t>
      </w:r>
      <w:r w:rsidR="00816A2A">
        <w:rPr>
          <w:rStyle w:val="ab"/>
          <w:rtl/>
        </w:rPr>
        <w:footnoteReference w:id="10"/>
      </w:r>
    </w:p>
    <w:p w:rsidR="00D50EBB" w:rsidRDefault="00D50EBB" w:rsidP="00D50EBB">
      <w:pPr>
        <w:pStyle w:val="1"/>
        <w:rPr>
          <w:rtl/>
        </w:rPr>
      </w:pPr>
      <w:bookmarkStart w:id="11" w:name="_Toc534523067"/>
      <w:r>
        <w:rPr>
          <w:rFonts w:hint="cs"/>
          <w:rtl/>
        </w:rPr>
        <w:t>خلاصه جلسه</w:t>
      </w:r>
      <w:r>
        <w:rPr>
          <w:rStyle w:val="ab"/>
          <w:rtl/>
        </w:rPr>
        <w:footnoteReference w:id="11"/>
      </w:r>
      <w:bookmarkEnd w:id="11"/>
    </w:p>
    <w:p w:rsidR="00B37677" w:rsidRDefault="00B37677" w:rsidP="00816A2A">
      <w:pPr>
        <w:rPr>
          <w:rtl/>
        </w:rPr>
      </w:pPr>
      <w:r>
        <w:rPr>
          <w:rFonts w:hint="cs"/>
          <w:rtl/>
        </w:rPr>
        <w:t xml:space="preserve">فقط یک طایفه ناظر به جریان اصاله الصحه </w:t>
      </w:r>
      <w:r w:rsidR="00816A2A">
        <w:rPr>
          <w:rFonts w:hint="cs"/>
          <w:rtl/>
        </w:rPr>
        <w:t>است</w:t>
      </w:r>
      <w:r>
        <w:rPr>
          <w:rFonts w:hint="cs"/>
          <w:rtl/>
        </w:rPr>
        <w:t xml:space="preserve"> که ممکن است به خاطر خصوصیت مورد باشد. </w:t>
      </w:r>
    </w:p>
    <w:p w:rsidR="00B37677" w:rsidRDefault="00B37677" w:rsidP="00F80E0E">
      <w:pPr>
        <w:rPr>
          <w:rtl/>
        </w:rPr>
      </w:pPr>
      <w:r>
        <w:rPr>
          <w:rFonts w:hint="cs"/>
          <w:rtl/>
        </w:rPr>
        <w:t>وجه چهارم: تقریب روائی: تعلیلی که ذیل روایت حفص آمده است( لزوم اختلال نظام بازار مسلمین در صورت عدم جریان قاعده ید) در مورد عدم جریان  اصاله الصحه هم صادق است به طریق اول</w:t>
      </w:r>
      <w:r w:rsidR="00F80E0E">
        <w:rPr>
          <w:rFonts w:hint="cs"/>
          <w:rtl/>
        </w:rPr>
        <w:t xml:space="preserve">ی </w:t>
      </w:r>
      <w:r>
        <w:rPr>
          <w:rFonts w:hint="cs"/>
          <w:rtl/>
        </w:rPr>
        <w:t xml:space="preserve">. مناقشه: اگر قاعده ید جاری شود کافی است تا اختلال رخ ندهد. تخلص: قاعده ید در بسیاری از مواردی که تصور جریان آن است، جاری نیست، چون حالت سابقه دارد. </w:t>
      </w:r>
    </w:p>
    <w:p w:rsidR="00F51BFC" w:rsidRPr="00B37677" w:rsidRDefault="00F51BFC" w:rsidP="00B37677">
      <w:pPr>
        <w:rPr>
          <w:rtl/>
        </w:rPr>
      </w:pPr>
    </w:p>
    <w:sectPr w:rsidR="00F51BFC" w:rsidRPr="00B37677"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23" w:rsidRDefault="00226F23" w:rsidP="008B750B">
      <w:pPr>
        <w:spacing w:line="240" w:lineRule="auto"/>
      </w:pPr>
      <w:r>
        <w:separator/>
      </w:r>
    </w:p>
  </w:endnote>
  <w:endnote w:type="continuationSeparator" w:id="0">
    <w:p w:rsidR="00226F23" w:rsidRDefault="00226F2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80E0E" w:rsidRPr="00F80E0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2E436A" w:rsidP="001B6799">
          <w:pPr>
            <w:pStyle w:val="a6"/>
            <w:bidi w:val="0"/>
            <w:rPr>
              <w:color w:val="808080" w:themeColor="background1" w:themeShade="80"/>
              <w:rtl/>
            </w:rPr>
          </w:pPr>
          <w:bookmarkStart w:id="19" w:name="BokAdres"/>
          <w:bookmarkEnd w:id="19"/>
          <w:r>
            <w:rPr>
              <w:color w:val="808080" w:themeColor="background1" w:themeShade="80"/>
            </w:rPr>
            <w:t>U1hs1_13971012-058_mr3_mfeb.ir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23" w:rsidRDefault="00226F23" w:rsidP="008B750B">
      <w:pPr>
        <w:spacing w:line="240" w:lineRule="auto"/>
      </w:pPr>
      <w:r>
        <w:separator/>
      </w:r>
    </w:p>
  </w:footnote>
  <w:footnote w:type="continuationSeparator" w:id="0">
    <w:p w:rsidR="00226F23" w:rsidRDefault="00226F23" w:rsidP="008B750B">
      <w:pPr>
        <w:spacing w:line="240" w:lineRule="auto"/>
      </w:pPr>
      <w:r>
        <w:continuationSeparator/>
      </w:r>
    </w:p>
  </w:footnote>
  <w:footnote w:id="1">
    <w:p w:rsidR="00CB17A0" w:rsidRPr="00CB17A0" w:rsidRDefault="00CB17A0" w:rsidP="00DD77ED">
      <w:pPr>
        <w:pStyle w:val="a9"/>
        <w:jc w:val="both"/>
      </w:pPr>
      <w:r w:rsidRPr="00CB17A0">
        <w:footnoteRef/>
      </w:r>
      <w:r w:rsidRPr="00CB17A0">
        <w:rPr>
          <w:rtl/>
        </w:rPr>
        <w:t xml:space="preserve"> </w:t>
      </w:r>
      <w:hyperlink r:id="rId1" w:history="1">
        <w:r w:rsidRPr="00CB17A0">
          <w:rPr>
            <w:rStyle w:val="ac"/>
            <w:rtl/>
          </w:rPr>
          <w:t>وسائل الش</w:t>
        </w:r>
        <w:r w:rsidRPr="00CB17A0">
          <w:rPr>
            <w:rStyle w:val="ac"/>
            <w:rFonts w:hint="cs"/>
            <w:rtl/>
          </w:rPr>
          <w:t>ی</w:t>
        </w:r>
        <w:r w:rsidRPr="00CB17A0">
          <w:rPr>
            <w:rStyle w:val="ac"/>
            <w:rFonts w:hint="eastAsia"/>
            <w:rtl/>
          </w:rPr>
          <w:t>عة،</w:t>
        </w:r>
        <w:r w:rsidRPr="00CB17A0">
          <w:rPr>
            <w:rStyle w:val="ac"/>
            <w:rtl/>
          </w:rPr>
          <w:t xml:space="preserve"> الش</w:t>
        </w:r>
        <w:r w:rsidRPr="00CB17A0">
          <w:rPr>
            <w:rStyle w:val="ac"/>
            <w:rFonts w:hint="cs"/>
            <w:rtl/>
          </w:rPr>
          <w:t>ی</w:t>
        </w:r>
        <w:r w:rsidRPr="00CB17A0">
          <w:rPr>
            <w:rStyle w:val="ac"/>
            <w:rFonts w:hint="eastAsia"/>
            <w:rtl/>
          </w:rPr>
          <w:t>خ</w:t>
        </w:r>
        <w:r w:rsidRPr="00CB17A0">
          <w:rPr>
            <w:rStyle w:val="ac"/>
            <w:rtl/>
          </w:rPr>
          <w:t xml:space="preserve"> الحر العاملي، ج27، ص293، أبواب كَيْفِيَّةِ الْحُكْمِ وَ أَحْكَامِ الدَّعْوَى‏، باب25، ح2، ط آل البيت.</w:t>
        </w:r>
      </w:hyperlink>
    </w:p>
  </w:footnote>
  <w:footnote w:id="2">
    <w:p w:rsidR="008C7BE0" w:rsidRPr="008C7BE0" w:rsidRDefault="008C7BE0" w:rsidP="00DD77ED">
      <w:pPr>
        <w:pStyle w:val="a9"/>
        <w:jc w:val="both"/>
      </w:pPr>
      <w:r w:rsidRPr="008C7BE0">
        <w:footnoteRef/>
      </w:r>
      <w:r w:rsidRPr="008C7BE0">
        <w:rPr>
          <w:rtl/>
        </w:rPr>
        <w:t xml:space="preserve"> </w:t>
      </w:r>
      <w:hyperlink r:id="rId2" w:history="1">
        <w:r w:rsidRPr="008C7BE0">
          <w:rPr>
            <w:rStyle w:val="ac"/>
            <w:rtl/>
          </w:rPr>
          <w:t>الفهرست، ش</w:t>
        </w:r>
        <w:r w:rsidRPr="008C7BE0">
          <w:rPr>
            <w:rStyle w:val="ac"/>
            <w:rFonts w:hint="cs"/>
            <w:rtl/>
          </w:rPr>
          <w:t>ی</w:t>
        </w:r>
        <w:r w:rsidRPr="008C7BE0">
          <w:rPr>
            <w:rStyle w:val="ac"/>
            <w:rFonts w:hint="eastAsia"/>
            <w:rtl/>
          </w:rPr>
          <w:t>خ</w:t>
        </w:r>
        <w:r w:rsidRPr="008C7BE0">
          <w:rPr>
            <w:rStyle w:val="ac"/>
            <w:rtl/>
          </w:rPr>
          <w:t xml:space="preserve"> طوس</w:t>
        </w:r>
        <w:r w:rsidRPr="008C7BE0">
          <w:rPr>
            <w:rStyle w:val="ac"/>
            <w:rFonts w:hint="cs"/>
            <w:rtl/>
          </w:rPr>
          <w:t>ی</w:t>
        </w:r>
        <w:r w:rsidRPr="008C7BE0">
          <w:rPr>
            <w:rStyle w:val="ac"/>
            <w:rFonts w:hint="eastAsia"/>
            <w:rtl/>
          </w:rPr>
          <w:t>،</w:t>
        </w:r>
        <w:r w:rsidRPr="008C7BE0">
          <w:rPr>
            <w:rStyle w:val="ac"/>
            <w:rtl/>
          </w:rPr>
          <w:t xml:space="preserve"> ج1، ص158.</w:t>
        </w:r>
      </w:hyperlink>
    </w:p>
  </w:footnote>
  <w:footnote w:id="3">
    <w:p w:rsidR="00920989" w:rsidRPr="00920989" w:rsidRDefault="00920989" w:rsidP="00DD77ED">
      <w:pPr>
        <w:pStyle w:val="a9"/>
        <w:jc w:val="both"/>
      </w:pPr>
      <w:r w:rsidRPr="00920989">
        <w:footnoteRef/>
      </w:r>
      <w:r w:rsidRPr="00920989">
        <w:rPr>
          <w:rtl/>
        </w:rPr>
        <w:t xml:space="preserve"> </w:t>
      </w:r>
      <w:hyperlink r:id="rId3" w:history="1">
        <w:r w:rsidRPr="00920989">
          <w:rPr>
            <w:rStyle w:val="ac"/>
            <w:rFonts w:hint="eastAsia"/>
            <w:rtl/>
          </w:rPr>
          <w:t>رجال</w:t>
        </w:r>
        <w:r w:rsidRPr="00920989">
          <w:rPr>
            <w:rStyle w:val="ac"/>
            <w:rtl/>
          </w:rPr>
          <w:t xml:space="preserve"> النجاش</w:t>
        </w:r>
        <w:r w:rsidRPr="00920989">
          <w:rPr>
            <w:rStyle w:val="ac"/>
            <w:rFonts w:hint="cs"/>
            <w:rtl/>
          </w:rPr>
          <w:t>ی</w:t>
        </w:r>
        <w:r w:rsidRPr="00920989">
          <w:rPr>
            <w:rStyle w:val="ac"/>
            <w:rFonts w:hint="eastAsia"/>
            <w:rtl/>
          </w:rPr>
          <w:t>،</w:t>
        </w:r>
        <w:r w:rsidRPr="00920989">
          <w:rPr>
            <w:rStyle w:val="ac"/>
            <w:rtl/>
          </w:rPr>
          <w:t xml:space="preserve"> ش</w:t>
        </w:r>
        <w:r w:rsidRPr="00920989">
          <w:rPr>
            <w:rStyle w:val="ac"/>
            <w:rFonts w:hint="cs"/>
            <w:rtl/>
          </w:rPr>
          <w:t>ی</w:t>
        </w:r>
        <w:r w:rsidRPr="00920989">
          <w:rPr>
            <w:rStyle w:val="ac"/>
            <w:rFonts w:hint="eastAsia"/>
            <w:rtl/>
          </w:rPr>
          <w:t>خ</w:t>
        </w:r>
        <w:r w:rsidRPr="00920989">
          <w:rPr>
            <w:rStyle w:val="ac"/>
            <w:rtl/>
          </w:rPr>
          <w:t xml:space="preserve"> النجاش</w:t>
        </w:r>
        <w:r w:rsidRPr="00920989">
          <w:rPr>
            <w:rStyle w:val="ac"/>
            <w:rFonts w:hint="cs"/>
            <w:rtl/>
          </w:rPr>
          <w:t>ی</w:t>
        </w:r>
        <w:r w:rsidRPr="00920989">
          <w:rPr>
            <w:rStyle w:val="ac"/>
            <w:rFonts w:hint="eastAsia"/>
            <w:rtl/>
          </w:rPr>
          <w:t>،</w:t>
        </w:r>
        <w:r w:rsidRPr="00920989">
          <w:rPr>
            <w:rStyle w:val="ac"/>
            <w:rtl/>
          </w:rPr>
          <w:t xml:space="preserve"> ج1، ص185.</w:t>
        </w:r>
      </w:hyperlink>
      <w:r w:rsidR="00392D14">
        <w:rPr>
          <w:rFonts w:hint="cs"/>
          <w:rtl/>
        </w:rPr>
        <w:t xml:space="preserve"> «کان ثقه...»</w:t>
      </w:r>
    </w:p>
  </w:footnote>
  <w:footnote w:id="4">
    <w:p w:rsidR="00920989" w:rsidRDefault="00920989" w:rsidP="00DD77ED">
      <w:pPr>
        <w:pStyle w:val="a9"/>
        <w:jc w:val="both"/>
      </w:pPr>
      <w:r>
        <w:rPr>
          <w:rStyle w:val="ab"/>
        </w:rPr>
        <w:footnoteRef/>
      </w:r>
      <w:r>
        <w:rPr>
          <w:rtl/>
        </w:rPr>
        <w:t xml:space="preserve"> </w:t>
      </w:r>
      <w:r>
        <w:rPr>
          <w:rFonts w:hint="cs"/>
          <w:rtl/>
        </w:rPr>
        <w:t>ابن الغضائری، ج1، ص:65. «ضعیف جدا...»</w:t>
      </w:r>
    </w:p>
  </w:footnote>
  <w:footnote w:id="5">
    <w:p w:rsidR="005011A3" w:rsidRPr="005011A3" w:rsidRDefault="005011A3" w:rsidP="00DD77ED">
      <w:pPr>
        <w:pStyle w:val="a9"/>
        <w:jc w:val="both"/>
      </w:pPr>
      <w:r w:rsidRPr="005011A3">
        <w:footnoteRef/>
      </w:r>
      <w:r w:rsidRPr="005011A3">
        <w:rPr>
          <w:rtl/>
        </w:rPr>
        <w:t xml:space="preserve"> </w:t>
      </w:r>
      <w:hyperlink r:id="rId4" w:history="1">
        <w:r w:rsidRPr="005011A3">
          <w:rPr>
            <w:rStyle w:val="ac"/>
            <w:rFonts w:hint="eastAsia"/>
            <w:rtl/>
          </w:rPr>
          <w:t>من</w:t>
        </w:r>
        <w:r w:rsidRPr="005011A3">
          <w:rPr>
            <w:rStyle w:val="ac"/>
            <w:rtl/>
          </w:rPr>
          <w:t xml:space="preserve"> لا </w:t>
        </w:r>
        <w:r w:rsidRPr="005011A3">
          <w:rPr>
            <w:rStyle w:val="ac"/>
            <w:rFonts w:hint="cs"/>
            <w:rtl/>
          </w:rPr>
          <w:t>ی</w:t>
        </w:r>
        <w:r w:rsidRPr="005011A3">
          <w:rPr>
            <w:rStyle w:val="ac"/>
            <w:rFonts w:hint="eastAsia"/>
            <w:rtl/>
          </w:rPr>
          <w:t>حضره</w:t>
        </w:r>
        <w:r w:rsidRPr="005011A3">
          <w:rPr>
            <w:rStyle w:val="ac"/>
            <w:rtl/>
          </w:rPr>
          <w:t xml:space="preserve"> الفق</w:t>
        </w:r>
        <w:r w:rsidRPr="005011A3">
          <w:rPr>
            <w:rStyle w:val="ac"/>
            <w:rFonts w:hint="cs"/>
            <w:rtl/>
          </w:rPr>
          <w:t>ی</w:t>
        </w:r>
        <w:r w:rsidRPr="005011A3">
          <w:rPr>
            <w:rStyle w:val="ac"/>
            <w:rFonts w:hint="eastAsia"/>
            <w:rtl/>
          </w:rPr>
          <w:t>ه،</w:t>
        </w:r>
        <w:r w:rsidRPr="005011A3">
          <w:rPr>
            <w:rStyle w:val="ac"/>
            <w:rtl/>
          </w:rPr>
          <w:t xml:space="preserve"> ش</w:t>
        </w:r>
        <w:r w:rsidRPr="005011A3">
          <w:rPr>
            <w:rStyle w:val="ac"/>
            <w:rFonts w:hint="cs"/>
            <w:rtl/>
          </w:rPr>
          <w:t>ی</w:t>
        </w:r>
        <w:r w:rsidRPr="005011A3">
          <w:rPr>
            <w:rStyle w:val="ac"/>
            <w:rFonts w:hint="eastAsia"/>
            <w:rtl/>
          </w:rPr>
          <w:t>خ</w:t>
        </w:r>
        <w:r w:rsidRPr="005011A3">
          <w:rPr>
            <w:rStyle w:val="ac"/>
            <w:rtl/>
          </w:rPr>
          <w:t xml:space="preserve"> صدوق، ج4، ص490.</w:t>
        </w:r>
      </w:hyperlink>
      <w:r>
        <w:rPr>
          <w:rFonts w:hint="cs"/>
          <w:rtl/>
        </w:rPr>
        <w:t xml:space="preserve"> «</w:t>
      </w:r>
      <w:r w:rsidRPr="005011A3">
        <w:rPr>
          <w:rtl/>
        </w:rPr>
        <w:t>يمكن الاستظهار لحسن حاله بكلام المصنّف في كيفية زيارة أبي عبد اللّه الحسين عليه السلام في المجلد الثاني تحت رقم 3200 حيث قال بعد نقل الزيارة: «اخترت هذه لهذا الكتاب لأنّها أصح الزيارات عندي من طريق الرواية» و في طريق الزيارة القاسم بن يحيى‏</w:t>
      </w:r>
      <w:r>
        <w:rPr>
          <w:rFonts w:hint="cs"/>
          <w:rtl/>
        </w:rPr>
        <w:t>»</w:t>
      </w:r>
    </w:p>
  </w:footnote>
  <w:footnote w:id="6">
    <w:p w:rsidR="00816A2A" w:rsidRDefault="00816A2A" w:rsidP="00DD77ED">
      <w:pPr>
        <w:pStyle w:val="a9"/>
        <w:jc w:val="both"/>
        <w:rPr>
          <w:rtl/>
        </w:rPr>
      </w:pPr>
      <w:r>
        <w:rPr>
          <w:rStyle w:val="ab"/>
        </w:rPr>
        <w:footnoteRef/>
      </w:r>
      <w:r>
        <w:rPr>
          <w:rFonts w:hint="cs"/>
          <w:rtl/>
        </w:rPr>
        <w:t xml:space="preserve"> </w:t>
      </w:r>
      <w:r w:rsidRPr="00816A2A">
        <w:rPr>
          <w:rtl/>
        </w:rPr>
        <w:t>فوائد الاصول،</w:t>
      </w:r>
      <w:r>
        <w:rPr>
          <w:rFonts w:hint="cs"/>
          <w:rtl/>
        </w:rPr>
        <w:t xml:space="preserve"> محمد حسین نائینی،</w:t>
      </w:r>
      <w:r w:rsidRPr="00816A2A">
        <w:rPr>
          <w:rtl/>
        </w:rPr>
        <w:t xml:space="preserve"> ج‏4، ص: 653</w:t>
      </w:r>
      <w:r>
        <w:rPr>
          <w:rFonts w:hint="cs"/>
          <w:rtl/>
        </w:rPr>
        <w:t>. «</w:t>
      </w:r>
      <w:r w:rsidRPr="00816A2A">
        <w:rPr>
          <w:rtl/>
        </w:rPr>
        <w:t>بلزوم العسر و الحرج مع عدم البناء على الصحّة بل اختلاف النظام‏</w:t>
      </w:r>
      <w:r>
        <w:rPr>
          <w:rFonts w:hint="cs"/>
          <w:rtl/>
        </w:rPr>
        <w:t>»</w:t>
      </w:r>
    </w:p>
  </w:footnote>
  <w:footnote w:id="7">
    <w:p w:rsidR="005011A3" w:rsidRPr="005011A3" w:rsidRDefault="005011A3" w:rsidP="00DD77ED">
      <w:pPr>
        <w:pStyle w:val="a9"/>
        <w:jc w:val="both"/>
      </w:pPr>
      <w:r w:rsidRPr="005011A3">
        <w:footnoteRef/>
      </w:r>
      <w:r w:rsidRPr="005011A3">
        <w:rPr>
          <w:rtl/>
        </w:rPr>
        <w:t xml:space="preserve"> </w:t>
      </w:r>
      <w:hyperlink r:id="rId5" w:history="1">
        <w:r w:rsidRPr="005011A3">
          <w:rPr>
            <w:rStyle w:val="ac"/>
            <w:rtl/>
          </w:rPr>
          <w:t>مصباح الاصول، الس</w:t>
        </w:r>
        <w:r w:rsidRPr="005011A3">
          <w:rPr>
            <w:rStyle w:val="ac"/>
            <w:rFonts w:hint="cs"/>
            <w:rtl/>
          </w:rPr>
          <w:t>ی</w:t>
        </w:r>
        <w:r w:rsidRPr="005011A3">
          <w:rPr>
            <w:rStyle w:val="ac"/>
            <w:rFonts w:hint="eastAsia"/>
            <w:rtl/>
          </w:rPr>
          <w:t>د</w:t>
        </w:r>
        <w:r w:rsidRPr="005011A3">
          <w:rPr>
            <w:rStyle w:val="ac"/>
            <w:rtl/>
          </w:rPr>
          <w:t xml:space="preserve"> أبوالقاسم الخوئ</w:t>
        </w:r>
        <w:r w:rsidRPr="005011A3">
          <w:rPr>
            <w:rStyle w:val="ac"/>
            <w:rFonts w:hint="cs"/>
            <w:rtl/>
          </w:rPr>
          <w:t>ی</w:t>
        </w:r>
        <w:r w:rsidRPr="005011A3">
          <w:rPr>
            <w:rStyle w:val="ac"/>
            <w:rFonts w:hint="eastAsia"/>
            <w:rtl/>
          </w:rPr>
          <w:t>،</w:t>
        </w:r>
        <w:r w:rsidRPr="005011A3">
          <w:rPr>
            <w:rStyle w:val="ac"/>
            <w:rtl/>
          </w:rPr>
          <w:t xml:space="preserve"> ج2، ص390.</w:t>
        </w:r>
      </w:hyperlink>
      <w:r>
        <w:rPr>
          <w:rFonts w:hint="cs"/>
          <w:rtl/>
        </w:rPr>
        <w:t xml:space="preserve"> «</w:t>
      </w:r>
      <w:r w:rsidRPr="005011A3">
        <w:rPr>
          <w:rtl/>
        </w:rPr>
        <w:t>الثالث: عموم التعليل الوارد في قاعدة اليد من أنّه لو لم يعمل بها لم يستقم للمسلمين سوق، فانّه‏</w:t>
      </w:r>
      <w:r>
        <w:rPr>
          <w:rFonts w:hint="cs"/>
          <w:rtl/>
        </w:rPr>
        <w:t>...»</w:t>
      </w:r>
    </w:p>
  </w:footnote>
  <w:footnote w:id="8">
    <w:p w:rsidR="00043180" w:rsidRPr="00043180" w:rsidRDefault="00043180" w:rsidP="00DD77ED">
      <w:pPr>
        <w:pStyle w:val="a9"/>
        <w:jc w:val="both"/>
      </w:pPr>
      <w:r w:rsidRPr="00043180">
        <w:footnoteRef/>
      </w:r>
      <w:r w:rsidRPr="00043180">
        <w:rPr>
          <w:rtl/>
        </w:rPr>
        <w:t xml:space="preserve"> </w:t>
      </w:r>
      <w:hyperlink r:id="rId6" w:history="1">
        <w:r w:rsidRPr="00043180">
          <w:rPr>
            <w:rStyle w:val="ac"/>
            <w:rtl/>
          </w:rPr>
          <w:t>فرائد الاصول، ش</w:t>
        </w:r>
        <w:r w:rsidRPr="00043180">
          <w:rPr>
            <w:rStyle w:val="ac"/>
            <w:rFonts w:hint="cs"/>
            <w:rtl/>
          </w:rPr>
          <w:t>ی</w:t>
        </w:r>
        <w:r w:rsidRPr="00043180">
          <w:rPr>
            <w:rStyle w:val="ac"/>
            <w:rFonts w:hint="eastAsia"/>
            <w:rtl/>
          </w:rPr>
          <w:t>خ</w:t>
        </w:r>
        <w:r w:rsidRPr="00043180">
          <w:rPr>
            <w:rStyle w:val="ac"/>
            <w:rtl/>
          </w:rPr>
          <w:t xml:space="preserve"> مرتض</w:t>
        </w:r>
        <w:r w:rsidRPr="00043180">
          <w:rPr>
            <w:rStyle w:val="ac"/>
            <w:rFonts w:hint="cs"/>
            <w:rtl/>
          </w:rPr>
          <w:t>ی</w:t>
        </w:r>
        <w:r w:rsidRPr="00043180">
          <w:rPr>
            <w:rStyle w:val="ac"/>
            <w:rtl/>
          </w:rPr>
          <w:t xml:space="preserve"> انصار</w:t>
        </w:r>
        <w:r w:rsidRPr="00043180">
          <w:rPr>
            <w:rStyle w:val="ac"/>
            <w:rFonts w:hint="cs"/>
            <w:rtl/>
          </w:rPr>
          <w:t>ی</w:t>
        </w:r>
        <w:r w:rsidRPr="00043180">
          <w:rPr>
            <w:rStyle w:val="ac"/>
            <w:rFonts w:hint="eastAsia"/>
            <w:rtl/>
          </w:rPr>
          <w:t>،</w:t>
        </w:r>
        <w:r w:rsidRPr="00043180">
          <w:rPr>
            <w:rStyle w:val="ac"/>
            <w:rtl/>
          </w:rPr>
          <w:t xml:space="preserve"> ج2، ص720.</w:t>
        </w:r>
      </w:hyperlink>
      <w:r>
        <w:rPr>
          <w:rFonts w:hint="cs"/>
          <w:rtl/>
        </w:rPr>
        <w:t xml:space="preserve"> </w:t>
      </w:r>
      <w:r>
        <w:rPr>
          <w:rtl/>
        </w:rPr>
        <w:t>«العقل المستقل الحاكم بأنه لو لم يبن علي هذا الأصل لزم اختلال نظام المعاد و المعاش بل الاختلال الحاصل من ترك العمل بهذا الأصل أزيد من الاختلال الحاصل من ترك العمل بيد المسلمين.مع (: أن الإمام عليه السلام قال لحفص بن غياث بعد الحكم بأن اليد دليل الملك و يجوز الشهادة بالملك بمجرد اليد أنه لو لا ذلك لما قام للمسلمين سوق) فيدل بفحواه على اعتبار أصالة الصحة في أعمال المسلمين مضافا إلى دلالته بظاهر اللفظ أن الظاهر أن كل ما لولاه لزم الاختلال فهو حق</w:t>
      </w:r>
      <w:r>
        <w:rPr>
          <w:rFonts w:hint="cs"/>
          <w:rtl/>
        </w:rPr>
        <w:t xml:space="preserve"> </w:t>
      </w:r>
      <w:r w:rsidRPr="00043180">
        <w:rPr>
          <w:rtl/>
        </w:rPr>
        <w:t>لأن الاختلال باطل و المستلزم للباطل باطل فنقيضه حق و هو اعتبار أصالة الصحة عند الشك في صحة ما صدر عن الغير.</w:t>
      </w:r>
      <w:r>
        <w:rPr>
          <w:rtl/>
        </w:rPr>
        <w:t>‏»</w:t>
      </w:r>
    </w:p>
  </w:footnote>
  <w:footnote w:id="9">
    <w:p w:rsidR="00816A2A" w:rsidRDefault="00816A2A" w:rsidP="00DD77ED">
      <w:pPr>
        <w:pStyle w:val="a9"/>
        <w:jc w:val="both"/>
        <w:rPr>
          <w:rtl/>
        </w:rPr>
      </w:pPr>
      <w:r>
        <w:rPr>
          <w:rStyle w:val="ab"/>
        </w:rPr>
        <w:footnoteRef/>
      </w:r>
      <w:r>
        <w:rPr>
          <w:rtl/>
        </w:rPr>
        <w:t xml:space="preserve"> </w:t>
      </w:r>
      <w:r w:rsidRPr="00816A2A">
        <w:rPr>
          <w:rtl/>
        </w:rPr>
        <w:t>فوائد الاصول،</w:t>
      </w:r>
      <w:r>
        <w:rPr>
          <w:rFonts w:hint="cs"/>
          <w:rtl/>
        </w:rPr>
        <w:t xml:space="preserve"> محمد حسین نائینی،</w:t>
      </w:r>
      <w:r w:rsidRPr="00816A2A">
        <w:rPr>
          <w:rtl/>
        </w:rPr>
        <w:t xml:space="preserve"> ج‏4، ص: 653</w:t>
      </w:r>
      <w:r>
        <w:rPr>
          <w:rFonts w:hint="cs"/>
          <w:rtl/>
        </w:rPr>
        <w:t>. «</w:t>
      </w:r>
      <w:r w:rsidRPr="00816A2A">
        <w:rPr>
          <w:rtl/>
        </w:rPr>
        <w:t xml:space="preserve"> </w:t>
      </w:r>
      <w:r>
        <w:rPr>
          <w:rtl/>
        </w:rPr>
        <w:t>، فانّ الحاجة إلى أصالة الصحّة إنّما هي في غير مقام اليد و هو ليس بمثابة يلزم منه العسر و الحرج عند عدم البناء</w:t>
      </w:r>
    </w:p>
    <w:p w:rsidR="00816A2A" w:rsidRDefault="00816A2A" w:rsidP="00DD77ED">
      <w:pPr>
        <w:pStyle w:val="a9"/>
        <w:jc w:val="both"/>
      </w:pPr>
      <w:r>
        <w:rPr>
          <w:rtl/>
        </w:rPr>
        <w:t>على الصحّة فتأمّل.</w:t>
      </w:r>
      <w:r>
        <w:rPr>
          <w:rFonts w:hint="cs"/>
          <w:rtl/>
        </w:rPr>
        <w:t>»</w:t>
      </w:r>
    </w:p>
  </w:footnote>
  <w:footnote w:id="10">
    <w:p w:rsidR="00816A2A" w:rsidRPr="00816A2A" w:rsidRDefault="00816A2A" w:rsidP="00DD77ED">
      <w:pPr>
        <w:pStyle w:val="a9"/>
        <w:jc w:val="both"/>
      </w:pPr>
      <w:r w:rsidRPr="00816A2A">
        <w:footnoteRef/>
      </w:r>
      <w:r w:rsidRPr="00816A2A">
        <w:rPr>
          <w:rtl/>
        </w:rPr>
        <w:t xml:space="preserve"> </w:t>
      </w:r>
      <w:hyperlink r:id="rId7" w:history="1">
        <w:r w:rsidRPr="00816A2A">
          <w:rPr>
            <w:rStyle w:val="ac"/>
            <w:rFonts w:hint="eastAsia"/>
            <w:rtl/>
          </w:rPr>
          <w:t>دروس</w:t>
        </w:r>
        <w:r w:rsidRPr="00816A2A">
          <w:rPr>
            <w:rStyle w:val="ac"/>
            <w:rtl/>
          </w:rPr>
          <w:t xml:space="preserve"> ف</w:t>
        </w:r>
        <w:r w:rsidRPr="00816A2A">
          <w:rPr>
            <w:rStyle w:val="ac"/>
            <w:rFonts w:hint="cs"/>
            <w:rtl/>
          </w:rPr>
          <w:t>ی</w:t>
        </w:r>
        <w:r w:rsidRPr="00816A2A">
          <w:rPr>
            <w:rStyle w:val="ac"/>
            <w:rtl/>
          </w:rPr>
          <w:t xml:space="preserve"> مسائل علم الاصول، جواد تبر</w:t>
        </w:r>
        <w:r w:rsidRPr="00816A2A">
          <w:rPr>
            <w:rStyle w:val="ac"/>
            <w:rFonts w:hint="cs"/>
            <w:rtl/>
          </w:rPr>
          <w:t>ی</w:t>
        </w:r>
        <w:r w:rsidRPr="00816A2A">
          <w:rPr>
            <w:rStyle w:val="ac"/>
            <w:rFonts w:hint="eastAsia"/>
            <w:rtl/>
          </w:rPr>
          <w:t>ز</w:t>
        </w:r>
        <w:r w:rsidRPr="00816A2A">
          <w:rPr>
            <w:rStyle w:val="ac"/>
            <w:rFonts w:hint="cs"/>
            <w:rtl/>
          </w:rPr>
          <w:t>ی</w:t>
        </w:r>
        <w:r w:rsidRPr="00816A2A">
          <w:rPr>
            <w:rStyle w:val="ac"/>
            <w:rFonts w:hint="eastAsia"/>
            <w:rtl/>
          </w:rPr>
          <w:t>،</w:t>
        </w:r>
        <w:r w:rsidRPr="00816A2A">
          <w:rPr>
            <w:rStyle w:val="ac"/>
            <w:rtl/>
          </w:rPr>
          <w:t xml:space="preserve"> ج6، ص52.</w:t>
        </w:r>
      </w:hyperlink>
      <w:r>
        <w:rPr>
          <w:rFonts w:hint="cs"/>
          <w:rtl/>
        </w:rPr>
        <w:t xml:space="preserve"> «</w:t>
      </w:r>
      <w:r w:rsidRPr="00816A2A">
        <w:rPr>
          <w:rtl/>
        </w:rPr>
        <w:t xml:space="preserve"> لكن فيه ما لا يخفى، و أن القاعدة لا تغني عن أصالة الصحة فإن اليد</w:t>
      </w:r>
      <w:r>
        <w:rPr>
          <w:rFonts w:hint="cs"/>
          <w:rtl/>
        </w:rPr>
        <w:t>...»</w:t>
      </w:r>
    </w:p>
  </w:footnote>
  <w:footnote w:id="11">
    <w:p w:rsidR="00D50EBB" w:rsidRDefault="00D50EBB" w:rsidP="00DD77ED">
      <w:pPr>
        <w:pStyle w:val="a9"/>
        <w:jc w:val="both"/>
      </w:pPr>
      <w:r>
        <w:rPr>
          <w:rStyle w:val="ab"/>
        </w:rPr>
        <w:footnoteRef/>
      </w:r>
      <w:r>
        <w:rPr>
          <w:rtl/>
        </w:rPr>
        <w:t xml:space="preserve"> </w:t>
      </w:r>
      <w:r>
        <w:rPr>
          <w:rFonts w:hint="cs"/>
          <w:rtl/>
        </w:rPr>
        <w:t>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2E436A">
      <w:rPr>
        <w:b/>
        <w:bCs/>
        <w:sz w:val="20"/>
        <w:szCs w:val="24"/>
        <w:rtl/>
      </w:rPr>
      <w:t>058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2E436A">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2E436A">
      <w:rPr>
        <w:b/>
        <w:bCs/>
        <w:color w:val="632423" w:themeColor="accent2" w:themeShade="80"/>
        <w:sz w:val="20"/>
        <w:szCs w:val="24"/>
        <w:rtl/>
      </w:rPr>
      <w:t>حس</w:t>
    </w:r>
    <w:r w:rsidR="002E436A">
      <w:rPr>
        <w:rFonts w:hint="cs"/>
        <w:b/>
        <w:bCs/>
        <w:color w:val="632423" w:themeColor="accent2" w:themeShade="80"/>
        <w:sz w:val="20"/>
        <w:szCs w:val="24"/>
        <w:rtl/>
      </w:rPr>
      <w:t>ی</w:t>
    </w:r>
    <w:r w:rsidR="002E436A">
      <w:rPr>
        <w:rFonts w:hint="eastAsia"/>
        <w:b/>
        <w:bCs/>
        <w:color w:val="632423" w:themeColor="accent2" w:themeShade="80"/>
        <w:sz w:val="20"/>
        <w:szCs w:val="24"/>
        <w:rtl/>
      </w:rPr>
      <w:t>ن</w:t>
    </w:r>
    <w:r w:rsidR="002E436A">
      <w:rPr>
        <w:b/>
        <w:bCs/>
        <w:color w:val="632423" w:themeColor="accent2" w:themeShade="80"/>
        <w:sz w:val="20"/>
        <w:szCs w:val="24"/>
        <w:rtl/>
      </w:rPr>
      <w:t xml:space="preserve"> شوپا</w:t>
    </w:r>
    <w:r w:rsidR="002E436A">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2E436A">
      <w:rPr>
        <w:sz w:val="24"/>
        <w:szCs w:val="24"/>
        <w:rtl/>
      </w:rPr>
      <w:t>12 /10 /1397</w:t>
    </w:r>
  </w:p>
  <w:p w:rsidR="00FA3B17" w:rsidRPr="00F16B53" w:rsidRDefault="00935A55" w:rsidP="00DD77E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2E436A">
      <w:rPr>
        <w:color w:val="000000" w:themeColor="text1"/>
        <w:sz w:val="24"/>
        <w:szCs w:val="24"/>
        <w:rtl/>
      </w:rPr>
      <w:t>اصاله الصحه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2E436A">
      <w:rPr>
        <w:sz w:val="24"/>
        <w:szCs w:val="24"/>
        <w:rtl/>
      </w:rPr>
      <w:t>مرتض</w:t>
    </w:r>
    <w:r w:rsidR="002E436A">
      <w:rPr>
        <w:rFonts w:hint="cs"/>
        <w:sz w:val="24"/>
        <w:szCs w:val="24"/>
        <w:rtl/>
      </w:rPr>
      <w:t>ی</w:t>
    </w:r>
    <w:r w:rsidR="002E436A">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DD77ED">
      <w:rPr>
        <w:rFonts w:hint="cs"/>
        <w:sz w:val="24"/>
        <w:szCs w:val="24"/>
        <w:rtl/>
      </w:rPr>
      <w:t>وجه چهارم، روایت حفص بن غیاث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C76B5"/>
    <w:multiLevelType w:val="hybridMultilevel"/>
    <w:tmpl w:val="8DA21B2A"/>
    <w:lvl w:ilvl="0" w:tplc="666491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3180"/>
    <w:rsid w:val="0004752E"/>
    <w:rsid w:val="00055496"/>
    <w:rsid w:val="00080A41"/>
    <w:rsid w:val="00080E6B"/>
    <w:rsid w:val="0008299B"/>
    <w:rsid w:val="000913AA"/>
    <w:rsid w:val="00094847"/>
    <w:rsid w:val="00096C63"/>
    <w:rsid w:val="000A2650"/>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6F23"/>
    <w:rsid w:val="0024121B"/>
    <w:rsid w:val="00247D2F"/>
    <w:rsid w:val="00256560"/>
    <w:rsid w:val="0027605E"/>
    <w:rsid w:val="00281E00"/>
    <w:rsid w:val="00294A52"/>
    <w:rsid w:val="002A0B73"/>
    <w:rsid w:val="002B575F"/>
    <w:rsid w:val="002B729B"/>
    <w:rsid w:val="002C1341"/>
    <w:rsid w:val="002C23B5"/>
    <w:rsid w:val="002C53A2"/>
    <w:rsid w:val="002D0040"/>
    <w:rsid w:val="002D2FA8"/>
    <w:rsid w:val="002E220F"/>
    <w:rsid w:val="002E436A"/>
    <w:rsid w:val="00307311"/>
    <w:rsid w:val="0032100F"/>
    <w:rsid w:val="0033402C"/>
    <w:rsid w:val="00340521"/>
    <w:rsid w:val="00345C73"/>
    <w:rsid w:val="00354A99"/>
    <w:rsid w:val="00360311"/>
    <w:rsid w:val="00361922"/>
    <w:rsid w:val="0036218E"/>
    <w:rsid w:val="0037339B"/>
    <w:rsid w:val="00386C11"/>
    <w:rsid w:val="00392D14"/>
    <w:rsid w:val="00397466"/>
    <w:rsid w:val="003A6148"/>
    <w:rsid w:val="003C33F6"/>
    <w:rsid w:val="003C3D2E"/>
    <w:rsid w:val="003C43A5"/>
    <w:rsid w:val="003E1C5C"/>
    <w:rsid w:val="003E6650"/>
    <w:rsid w:val="003E6996"/>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14EA"/>
    <w:rsid w:val="004D2DD7"/>
    <w:rsid w:val="004D75C5"/>
    <w:rsid w:val="004E2186"/>
    <w:rsid w:val="004E66FB"/>
    <w:rsid w:val="004F470A"/>
    <w:rsid w:val="004F4C59"/>
    <w:rsid w:val="00500C8F"/>
    <w:rsid w:val="005011A3"/>
    <w:rsid w:val="00501909"/>
    <w:rsid w:val="00507BBB"/>
    <w:rsid w:val="005128DF"/>
    <w:rsid w:val="0051592A"/>
    <w:rsid w:val="005206FE"/>
    <w:rsid w:val="005257ED"/>
    <w:rsid w:val="005306F8"/>
    <w:rsid w:val="0054023D"/>
    <w:rsid w:val="005426BF"/>
    <w:rsid w:val="00556B43"/>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1C9E"/>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16A2A"/>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C540F"/>
    <w:rsid w:val="008C7BE0"/>
    <w:rsid w:val="008D1F14"/>
    <w:rsid w:val="008E3924"/>
    <w:rsid w:val="008F13F7"/>
    <w:rsid w:val="008F3B88"/>
    <w:rsid w:val="008F5B4D"/>
    <w:rsid w:val="00907425"/>
    <w:rsid w:val="00920989"/>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266E"/>
    <w:rsid w:val="009F7E07"/>
    <w:rsid w:val="00A01522"/>
    <w:rsid w:val="00A06046"/>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37677"/>
    <w:rsid w:val="00B40BFB"/>
    <w:rsid w:val="00B43169"/>
    <w:rsid w:val="00B4635F"/>
    <w:rsid w:val="00B501A8"/>
    <w:rsid w:val="00B55AE4"/>
    <w:rsid w:val="00B70B46"/>
    <w:rsid w:val="00B739B0"/>
    <w:rsid w:val="00B8114E"/>
    <w:rsid w:val="00B814A3"/>
    <w:rsid w:val="00B81CCF"/>
    <w:rsid w:val="00B96F38"/>
    <w:rsid w:val="00BC716B"/>
    <w:rsid w:val="00BD0E74"/>
    <w:rsid w:val="00BD5F8C"/>
    <w:rsid w:val="00BE29DD"/>
    <w:rsid w:val="00C066AF"/>
    <w:rsid w:val="00C10E06"/>
    <w:rsid w:val="00C145B8"/>
    <w:rsid w:val="00C21875"/>
    <w:rsid w:val="00C2438F"/>
    <w:rsid w:val="00C31AF0"/>
    <w:rsid w:val="00C32A7E"/>
    <w:rsid w:val="00C34F28"/>
    <w:rsid w:val="00C368DF"/>
    <w:rsid w:val="00C442C5"/>
    <w:rsid w:val="00C57B5C"/>
    <w:rsid w:val="00C57C7C"/>
    <w:rsid w:val="00C61049"/>
    <w:rsid w:val="00C63FFE"/>
    <w:rsid w:val="00C845A3"/>
    <w:rsid w:val="00C9189A"/>
    <w:rsid w:val="00C91EB6"/>
    <w:rsid w:val="00CA10B0"/>
    <w:rsid w:val="00CA2F8E"/>
    <w:rsid w:val="00CA3EE2"/>
    <w:rsid w:val="00CA7FD5"/>
    <w:rsid w:val="00CB17A0"/>
    <w:rsid w:val="00CB3287"/>
    <w:rsid w:val="00CB33E2"/>
    <w:rsid w:val="00CB4E68"/>
    <w:rsid w:val="00CC2733"/>
    <w:rsid w:val="00CD0050"/>
    <w:rsid w:val="00CE7481"/>
    <w:rsid w:val="00CF0A8F"/>
    <w:rsid w:val="00D048CE"/>
    <w:rsid w:val="00D10998"/>
    <w:rsid w:val="00D15CBD"/>
    <w:rsid w:val="00D221CB"/>
    <w:rsid w:val="00D23391"/>
    <w:rsid w:val="00D31805"/>
    <w:rsid w:val="00D50EBB"/>
    <w:rsid w:val="00D552B9"/>
    <w:rsid w:val="00D735B2"/>
    <w:rsid w:val="00D74021"/>
    <w:rsid w:val="00D76D01"/>
    <w:rsid w:val="00D922A9"/>
    <w:rsid w:val="00D9394A"/>
    <w:rsid w:val="00DB0CBB"/>
    <w:rsid w:val="00DB67CC"/>
    <w:rsid w:val="00DC3783"/>
    <w:rsid w:val="00DC683F"/>
    <w:rsid w:val="00DD77ED"/>
    <w:rsid w:val="00DE1070"/>
    <w:rsid w:val="00E00219"/>
    <w:rsid w:val="00E0316B"/>
    <w:rsid w:val="00E1267C"/>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4E9"/>
    <w:rsid w:val="00F4256E"/>
    <w:rsid w:val="00F42EE1"/>
    <w:rsid w:val="00F51BFC"/>
    <w:rsid w:val="00F60F1F"/>
    <w:rsid w:val="00F64141"/>
    <w:rsid w:val="00F67508"/>
    <w:rsid w:val="00F71FC9"/>
    <w:rsid w:val="00F73B48"/>
    <w:rsid w:val="00F74F51"/>
    <w:rsid w:val="00F80E0E"/>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28/1/185/&#1575;&#1604;&#1605;&#1606;&#1602;&#1585;&#1740;" TargetMode="External"/><Relationship Id="rId7" Type="http://schemas.openxmlformats.org/officeDocument/2006/relationships/hyperlink" Target="http://lib.eshia.ir/86749/6/52/&#1604;&#1575;%20&#1740;&#1582;&#1601;&#1740;" TargetMode="External"/><Relationship Id="rId2" Type="http://schemas.openxmlformats.org/officeDocument/2006/relationships/hyperlink" Target="http://lib.eshia.ir/14010/1/158/&#1605;&#1593;&#1578;&#1605;&#1583;" TargetMode="External"/><Relationship Id="rId1" Type="http://schemas.openxmlformats.org/officeDocument/2006/relationships/hyperlink" Target="http://lib.eshia.ir/11025/27/293/&#1581;&#1601;&#1589;" TargetMode="External"/><Relationship Id="rId6" Type="http://schemas.openxmlformats.org/officeDocument/2006/relationships/hyperlink" Target="http://lib.eshia.ir/13056/2/720/&#1575;&#1604;&#1605;&#1587;&#1578;&#1602;&#1604;" TargetMode="External"/><Relationship Id="rId5" Type="http://schemas.openxmlformats.org/officeDocument/2006/relationships/hyperlink" Target="http://lib.eshia.ir/13046/2/390/&#1587;&#1608;&#1602;" TargetMode="External"/><Relationship Id="rId4" Type="http://schemas.openxmlformats.org/officeDocument/2006/relationships/hyperlink" Target="http://lib.eshia.ir/11021/4/490/&#1575;&#1604;&#1586;&#1740;&#1575;&#1585;&#157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281F-501B-49C3-93BB-E906A180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598</TotalTime>
  <Pages>4</Pages>
  <Words>860</Words>
  <Characters>4902</Characters>
  <Application>Microsoft Office Word</Application>
  <DocSecurity>0</DocSecurity>
  <Lines>40</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5751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22</cp:revision>
  <dcterms:created xsi:type="dcterms:W3CDTF">2019-01-02T16:20:00Z</dcterms:created>
  <dcterms:modified xsi:type="dcterms:W3CDTF">2019-01-08T08:31:00Z</dcterms:modified>
  <cp:contentStatus>ویرایش 2.5</cp:contentStatus>
  <cp:version>2.7</cp:version>
</cp:coreProperties>
</file>